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9E4B8">
      <w:pPr>
        <w:pStyle w:val="16"/>
        <w:spacing w:before="0" w:line="360" w:lineRule="auto"/>
        <w:ind w:left="0"/>
        <w:jc w:val="both"/>
        <w:rPr>
          <w:rFonts w:hAnsi="宋体"/>
          <w:color w:val="auto"/>
          <w:sz w:val="21"/>
          <w:highlight w:val="none"/>
        </w:rPr>
      </w:pPr>
    </w:p>
    <w:p w14:paraId="67DB874F">
      <w:pPr>
        <w:pStyle w:val="16"/>
        <w:spacing w:before="0" w:line="360" w:lineRule="auto"/>
        <w:ind w:left="0"/>
        <w:jc w:val="both"/>
        <w:rPr>
          <w:rFonts w:hAnsi="宋体"/>
          <w:color w:val="auto"/>
          <w:sz w:val="21"/>
          <w:highlight w:val="none"/>
        </w:rPr>
      </w:pPr>
    </w:p>
    <w:p w14:paraId="763BA9B0">
      <w:pPr>
        <w:pStyle w:val="16"/>
        <w:spacing w:before="0" w:line="360" w:lineRule="auto"/>
        <w:ind w:left="0"/>
        <w:jc w:val="both"/>
        <w:rPr>
          <w:rFonts w:hAnsi="宋体"/>
          <w:color w:val="auto"/>
          <w:sz w:val="21"/>
          <w:highlight w:val="none"/>
        </w:rPr>
      </w:pPr>
    </w:p>
    <w:p w14:paraId="54BEBB6B">
      <w:pPr>
        <w:pStyle w:val="16"/>
        <w:spacing w:before="0" w:line="360" w:lineRule="auto"/>
        <w:ind w:left="0"/>
        <w:jc w:val="both"/>
        <w:rPr>
          <w:rFonts w:hAnsi="宋体"/>
          <w:color w:val="auto"/>
          <w:sz w:val="21"/>
          <w:highlight w:val="none"/>
        </w:rPr>
      </w:pPr>
    </w:p>
    <w:p w14:paraId="6A01F0E8">
      <w:pPr>
        <w:pStyle w:val="16"/>
        <w:spacing w:before="0" w:line="360" w:lineRule="auto"/>
        <w:ind w:left="0"/>
        <w:jc w:val="both"/>
        <w:rPr>
          <w:rFonts w:hAnsi="宋体"/>
          <w:color w:val="auto"/>
          <w:sz w:val="21"/>
          <w:highlight w:val="none"/>
        </w:rPr>
      </w:pPr>
    </w:p>
    <w:p w14:paraId="17A6694C">
      <w:pPr>
        <w:jc w:val="center"/>
        <w:rPr>
          <w:rFonts w:hAnsi="宋体"/>
          <w:b/>
          <w:color w:val="auto"/>
          <w:sz w:val="84"/>
          <w:highlight w:val="none"/>
        </w:rPr>
      </w:pPr>
      <w:r>
        <w:rPr>
          <w:rFonts w:hint="eastAsia" w:hAnsi="宋体"/>
          <w:b/>
          <w:color w:val="auto"/>
          <w:sz w:val="84"/>
          <w:highlight w:val="none"/>
        </w:rPr>
        <w:t>太仓市政府采购</w:t>
      </w:r>
    </w:p>
    <w:p w14:paraId="0D1C1CF8">
      <w:pPr>
        <w:jc w:val="center"/>
        <w:rPr>
          <w:rFonts w:hAnsi="宋体"/>
          <w:b/>
          <w:color w:val="auto"/>
          <w:sz w:val="84"/>
          <w:highlight w:val="none"/>
        </w:rPr>
      </w:pPr>
      <w:r>
        <w:rPr>
          <w:rFonts w:hint="eastAsia" w:hAnsi="宋体"/>
          <w:b/>
          <w:color w:val="auto"/>
          <w:sz w:val="84"/>
          <w:highlight w:val="none"/>
        </w:rPr>
        <w:t>招标文件</w:t>
      </w:r>
    </w:p>
    <w:p w14:paraId="19463FEA">
      <w:pPr>
        <w:pStyle w:val="16"/>
        <w:spacing w:before="0" w:line="360" w:lineRule="auto"/>
        <w:ind w:left="0"/>
        <w:jc w:val="both"/>
        <w:rPr>
          <w:rFonts w:hAnsi="宋体"/>
          <w:color w:val="auto"/>
          <w:sz w:val="21"/>
          <w:highlight w:val="none"/>
        </w:rPr>
      </w:pPr>
    </w:p>
    <w:p w14:paraId="0133BCF1">
      <w:pPr>
        <w:pStyle w:val="16"/>
        <w:spacing w:before="0" w:line="360" w:lineRule="auto"/>
        <w:ind w:left="0"/>
        <w:jc w:val="both"/>
        <w:rPr>
          <w:rFonts w:hAnsi="宋体"/>
          <w:color w:val="auto"/>
          <w:sz w:val="21"/>
          <w:highlight w:val="none"/>
        </w:rPr>
      </w:pPr>
    </w:p>
    <w:p w14:paraId="3146542C">
      <w:pPr>
        <w:pStyle w:val="16"/>
        <w:spacing w:before="0" w:line="360" w:lineRule="auto"/>
        <w:ind w:left="0"/>
        <w:jc w:val="both"/>
        <w:rPr>
          <w:rFonts w:hAnsi="宋体"/>
          <w:color w:val="auto"/>
          <w:sz w:val="21"/>
          <w:highlight w:val="none"/>
        </w:rPr>
      </w:pPr>
    </w:p>
    <w:p w14:paraId="27E80104">
      <w:pPr>
        <w:pStyle w:val="16"/>
        <w:spacing w:before="0" w:line="360" w:lineRule="auto"/>
        <w:ind w:left="0"/>
        <w:jc w:val="both"/>
        <w:rPr>
          <w:rFonts w:hAnsi="宋体"/>
          <w:color w:val="auto"/>
          <w:sz w:val="21"/>
          <w:highlight w:val="none"/>
        </w:rPr>
      </w:pPr>
    </w:p>
    <w:p w14:paraId="775A3901">
      <w:pPr>
        <w:pStyle w:val="16"/>
        <w:spacing w:before="0" w:line="360" w:lineRule="auto"/>
        <w:ind w:left="0"/>
        <w:jc w:val="both"/>
        <w:rPr>
          <w:rFonts w:hAnsi="宋体"/>
          <w:color w:val="auto"/>
          <w:sz w:val="21"/>
          <w:highlight w:val="none"/>
        </w:rPr>
      </w:pPr>
    </w:p>
    <w:p w14:paraId="12D5AF14">
      <w:pPr>
        <w:pStyle w:val="16"/>
        <w:spacing w:before="0" w:line="360" w:lineRule="auto"/>
        <w:ind w:left="0"/>
        <w:jc w:val="both"/>
        <w:rPr>
          <w:rFonts w:hAnsi="宋体"/>
          <w:color w:val="auto"/>
          <w:sz w:val="21"/>
          <w:highlight w:val="none"/>
        </w:rPr>
      </w:pPr>
    </w:p>
    <w:p w14:paraId="460BE260">
      <w:pPr>
        <w:pStyle w:val="16"/>
        <w:spacing w:before="0" w:line="360" w:lineRule="auto"/>
        <w:ind w:left="0"/>
        <w:jc w:val="both"/>
        <w:rPr>
          <w:rFonts w:hAnsi="宋体"/>
          <w:color w:val="auto"/>
          <w:sz w:val="21"/>
          <w:highlight w:val="none"/>
        </w:rPr>
      </w:pPr>
    </w:p>
    <w:p w14:paraId="1F37D764">
      <w:pPr>
        <w:pStyle w:val="16"/>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项目编号：JSZC-320585-TCAX-G2026-0007</w:t>
      </w:r>
    </w:p>
    <w:p w14:paraId="0DE873AA">
      <w:pPr>
        <w:pStyle w:val="16"/>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采购内容：太仓市公路保洁及应急处置项目</w:t>
      </w:r>
    </w:p>
    <w:p w14:paraId="2BE0BCB7">
      <w:pPr>
        <w:pStyle w:val="16"/>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采购单位：太仓市交通运输局</w:t>
      </w:r>
    </w:p>
    <w:p w14:paraId="6A49160C">
      <w:pPr>
        <w:pStyle w:val="16"/>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 xml:space="preserve">项目类别：服务类 </w:t>
      </w:r>
    </w:p>
    <w:p w14:paraId="66F6781F">
      <w:pPr>
        <w:pStyle w:val="16"/>
        <w:spacing w:before="0" w:line="360" w:lineRule="auto"/>
        <w:ind w:left="0" w:firstLine="851"/>
        <w:jc w:val="both"/>
        <w:rPr>
          <w:rFonts w:hAnsi="宋体"/>
          <w:b/>
          <w:bCs/>
          <w:color w:val="auto"/>
          <w:sz w:val="32"/>
          <w:szCs w:val="32"/>
          <w:highlight w:val="none"/>
        </w:rPr>
      </w:pPr>
      <w:r>
        <w:rPr>
          <w:rFonts w:hint="eastAsia" w:hAnsi="宋体"/>
          <w:b/>
          <w:bCs/>
          <w:color w:val="auto"/>
          <w:sz w:val="32"/>
          <w:szCs w:val="32"/>
          <w:highlight w:val="none"/>
        </w:rPr>
        <w:t>标的所属行业：</w:t>
      </w:r>
      <w:bookmarkStart w:id="0" w:name="OLE_LINK17"/>
      <w:bookmarkStart w:id="1" w:name="OLE_LINK16"/>
      <w:r>
        <w:rPr>
          <w:rFonts w:hint="eastAsia" w:hAnsi="宋体"/>
          <w:b/>
          <w:bCs/>
          <w:color w:val="auto"/>
          <w:sz w:val="32"/>
          <w:szCs w:val="32"/>
          <w:highlight w:val="none"/>
        </w:rPr>
        <w:t>（十六）其他未列明行业</w:t>
      </w:r>
      <w:bookmarkEnd w:id="0"/>
      <w:bookmarkEnd w:id="1"/>
    </w:p>
    <w:p w14:paraId="63E17E6C">
      <w:pPr>
        <w:pStyle w:val="16"/>
        <w:spacing w:before="0" w:line="360" w:lineRule="auto"/>
        <w:ind w:left="0"/>
        <w:jc w:val="both"/>
        <w:rPr>
          <w:rFonts w:hAnsi="宋体"/>
          <w:color w:val="auto"/>
          <w:sz w:val="21"/>
          <w:highlight w:val="none"/>
        </w:rPr>
      </w:pPr>
    </w:p>
    <w:p w14:paraId="5EE619B1">
      <w:pPr>
        <w:pStyle w:val="16"/>
        <w:spacing w:before="0" w:line="360" w:lineRule="auto"/>
        <w:ind w:left="0"/>
        <w:jc w:val="both"/>
        <w:rPr>
          <w:rFonts w:hAnsi="宋体"/>
          <w:color w:val="auto"/>
          <w:sz w:val="21"/>
          <w:highlight w:val="none"/>
        </w:rPr>
      </w:pPr>
    </w:p>
    <w:p w14:paraId="1607F704">
      <w:pPr>
        <w:pStyle w:val="16"/>
        <w:spacing w:before="0" w:line="360" w:lineRule="auto"/>
        <w:ind w:left="0"/>
        <w:jc w:val="both"/>
        <w:rPr>
          <w:rFonts w:hAnsi="宋体"/>
          <w:color w:val="auto"/>
          <w:sz w:val="21"/>
          <w:highlight w:val="none"/>
        </w:rPr>
      </w:pPr>
    </w:p>
    <w:p w14:paraId="54A8A75C">
      <w:pPr>
        <w:pStyle w:val="16"/>
        <w:spacing w:before="0" w:line="360" w:lineRule="auto"/>
        <w:ind w:left="0"/>
        <w:jc w:val="both"/>
        <w:rPr>
          <w:rFonts w:hAnsi="宋体"/>
          <w:color w:val="auto"/>
          <w:sz w:val="21"/>
          <w:highlight w:val="none"/>
        </w:rPr>
      </w:pPr>
    </w:p>
    <w:p w14:paraId="108D8B55">
      <w:pPr>
        <w:pStyle w:val="16"/>
        <w:spacing w:before="0" w:line="360" w:lineRule="auto"/>
        <w:ind w:left="0"/>
        <w:jc w:val="both"/>
        <w:rPr>
          <w:rFonts w:hAnsi="宋体"/>
          <w:color w:val="auto"/>
          <w:sz w:val="21"/>
          <w:highlight w:val="none"/>
        </w:rPr>
      </w:pPr>
    </w:p>
    <w:p w14:paraId="7F74DA07">
      <w:pPr>
        <w:pStyle w:val="16"/>
        <w:spacing w:before="0" w:line="360" w:lineRule="auto"/>
        <w:ind w:left="0"/>
        <w:jc w:val="center"/>
        <w:rPr>
          <w:rFonts w:hAnsi="宋体"/>
          <w:b/>
          <w:bCs/>
          <w:color w:val="auto"/>
          <w:sz w:val="32"/>
          <w:szCs w:val="32"/>
          <w:highlight w:val="none"/>
        </w:rPr>
      </w:pPr>
      <w:r>
        <w:rPr>
          <w:rFonts w:hint="eastAsia" w:hAnsi="宋体"/>
          <w:b/>
          <w:bCs/>
          <w:color w:val="auto"/>
          <w:sz w:val="32"/>
          <w:szCs w:val="32"/>
          <w:highlight w:val="none"/>
        </w:rPr>
        <w:t>代理机构：苏州安信造价咨询有限公司</w:t>
      </w:r>
    </w:p>
    <w:p w14:paraId="6C75C6EB">
      <w:pPr>
        <w:pStyle w:val="16"/>
        <w:spacing w:before="0" w:line="360" w:lineRule="auto"/>
        <w:ind w:left="0"/>
        <w:jc w:val="center"/>
        <w:rPr>
          <w:rFonts w:hAnsi="宋体"/>
          <w:b/>
          <w:bCs/>
          <w:color w:val="auto"/>
          <w:sz w:val="32"/>
          <w:szCs w:val="32"/>
          <w:highlight w:val="none"/>
        </w:rPr>
      </w:pPr>
      <w:r>
        <w:rPr>
          <w:rFonts w:hint="eastAsia" w:hAnsi="宋体"/>
          <w:b/>
          <w:bCs/>
          <w:color w:val="auto"/>
          <w:sz w:val="32"/>
          <w:szCs w:val="32"/>
          <w:highlight w:val="none"/>
        </w:rPr>
        <w:t>二○二六年</w:t>
      </w:r>
      <w:r>
        <w:rPr>
          <w:rFonts w:hint="eastAsia" w:hAnsi="宋体"/>
          <w:b/>
          <w:bCs/>
          <w:color w:val="auto"/>
          <w:sz w:val="32"/>
          <w:szCs w:val="32"/>
          <w:highlight w:val="none"/>
          <w:lang w:val="en-US" w:eastAsia="zh-CN"/>
        </w:rPr>
        <w:t>六</w:t>
      </w:r>
      <w:r>
        <w:rPr>
          <w:rFonts w:hint="eastAsia" w:hAnsi="宋体"/>
          <w:b/>
          <w:bCs/>
          <w:color w:val="auto"/>
          <w:sz w:val="32"/>
          <w:szCs w:val="32"/>
          <w:highlight w:val="none"/>
        </w:rPr>
        <w:t>月</w:t>
      </w:r>
    </w:p>
    <w:p w14:paraId="387E0566">
      <w:pPr>
        <w:pStyle w:val="16"/>
        <w:spacing w:before="0" w:line="360" w:lineRule="auto"/>
        <w:ind w:left="0"/>
        <w:jc w:val="both"/>
        <w:rPr>
          <w:rFonts w:hAnsi="宋体"/>
          <w:color w:val="auto"/>
          <w:sz w:val="21"/>
          <w:highlight w:val="none"/>
        </w:rPr>
      </w:pPr>
    </w:p>
    <w:p w14:paraId="6034AE4F">
      <w:pPr>
        <w:pStyle w:val="16"/>
        <w:spacing w:before="0" w:line="360" w:lineRule="auto"/>
        <w:ind w:left="0"/>
        <w:jc w:val="both"/>
        <w:rPr>
          <w:rFonts w:hAnsi="宋体"/>
          <w:color w:val="auto"/>
          <w:sz w:val="21"/>
          <w:highlight w:val="none"/>
        </w:rPr>
      </w:pPr>
    </w:p>
    <w:p w14:paraId="686765B5">
      <w:pPr>
        <w:jc w:val="center"/>
        <w:rPr>
          <w:rFonts w:hAnsi="宋体"/>
          <w:b/>
          <w:color w:val="auto"/>
          <w:sz w:val="44"/>
          <w:szCs w:val="44"/>
          <w:highlight w:val="none"/>
        </w:rPr>
      </w:pPr>
      <w:r>
        <w:rPr>
          <w:rFonts w:hAnsi="宋体"/>
          <w:b/>
          <w:color w:val="auto"/>
          <w:sz w:val="44"/>
          <w:szCs w:val="44"/>
          <w:highlight w:val="none"/>
        </w:rPr>
        <w:t>目   录</w:t>
      </w:r>
    </w:p>
    <w:p w14:paraId="5665A4FF">
      <w:pPr>
        <w:pStyle w:val="231"/>
        <w:rPr>
          <w:color w:val="auto"/>
          <w:highlight w:val="none"/>
        </w:rPr>
      </w:pPr>
    </w:p>
    <w:p w14:paraId="7EFE768A">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49"/>
          <w:rFonts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8198427">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49"/>
          <w:rFonts w:hAnsi="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723B8076">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49"/>
          <w:rFonts w:hAnsi="宋体"/>
          <w:color w:val="auto"/>
          <w:highlight w:val="none"/>
        </w:rPr>
        <w:t>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7AA3ACAD">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49"/>
          <w:rFonts w:hAnsi="宋体"/>
          <w:color w:val="auto"/>
          <w:highlight w:val="none"/>
        </w:rPr>
        <w:t>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50A9984C">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49"/>
          <w:rFonts w:hAnsi="宋体"/>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47EAF084">
      <w:pPr>
        <w:pStyle w:val="29"/>
        <w:rPr>
          <w:rFonts w:ascii="Arial" w:hAnsi="Arial"/>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49"/>
          <w:rFonts w:hAnsi="宋体"/>
          <w:color w:val="auto"/>
          <w:highlight w:val="none"/>
        </w:rPr>
        <w:t>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74</w:t>
      </w:r>
      <w:r>
        <w:rPr>
          <w:color w:val="auto"/>
          <w:highlight w:val="none"/>
        </w:rPr>
        <w:fldChar w:fldCharType="end"/>
      </w:r>
      <w:r>
        <w:rPr>
          <w:color w:val="auto"/>
          <w:highlight w:val="none"/>
        </w:rPr>
        <w:fldChar w:fldCharType="end"/>
      </w:r>
    </w:p>
    <w:p w14:paraId="39941B0E">
      <w:pPr>
        <w:rPr>
          <w:color w:val="auto"/>
          <w:highlight w:val="none"/>
        </w:rPr>
      </w:pPr>
      <w:r>
        <w:rPr>
          <w:b/>
          <w:bCs/>
          <w:color w:val="auto"/>
          <w:highlight w:val="none"/>
          <w:lang w:val="zh-CN"/>
        </w:rPr>
        <w:fldChar w:fldCharType="end"/>
      </w:r>
    </w:p>
    <w:p w14:paraId="6A326C00">
      <w:pPr>
        <w:pStyle w:val="16"/>
        <w:spacing w:before="0" w:line="360" w:lineRule="auto"/>
        <w:ind w:left="0"/>
        <w:jc w:val="both"/>
        <w:rPr>
          <w:rFonts w:hAnsi="宋体"/>
          <w:color w:val="auto"/>
          <w:sz w:val="21"/>
          <w:highlight w:val="none"/>
        </w:rPr>
        <w:sectPr>
          <w:footerReference r:id="rId4" w:type="first"/>
          <w:footerReference r:id="rId3" w:type="default"/>
          <w:pgSz w:w="11910" w:h="16840"/>
          <w:pgMar w:top="1361" w:right="1304" w:bottom="1304" w:left="1361" w:header="0" w:footer="850" w:gutter="0"/>
          <w:cols w:space="720" w:num="1"/>
          <w:docGrid w:linePitch="360" w:charSpace="0"/>
        </w:sectPr>
      </w:pPr>
    </w:p>
    <w:p w14:paraId="483C6E21">
      <w:pPr>
        <w:pStyle w:val="16"/>
        <w:spacing w:before="0" w:line="360" w:lineRule="auto"/>
        <w:ind w:left="0"/>
        <w:jc w:val="center"/>
        <w:outlineLvl w:val="0"/>
        <w:rPr>
          <w:rFonts w:hAnsi="宋体"/>
          <w:b/>
          <w:bCs/>
          <w:color w:val="auto"/>
          <w:sz w:val="36"/>
          <w:szCs w:val="36"/>
          <w:highlight w:val="none"/>
        </w:rPr>
      </w:pPr>
      <w:bookmarkStart w:id="2" w:name="_Toc159507035"/>
      <w:bookmarkStart w:id="3" w:name="OLE_LINK6"/>
      <w:r>
        <w:rPr>
          <w:rFonts w:hAnsi="宋体"/>
          <w:b/>
          <w:bCs/>
          <w:color w:val="auto"/>
          <w:sz w:val="36"/>
          <w:szCs w:val="36"/>
          <w:highlight w:val="none"/>
        </w:rPr>
        <w:t>第</w:t>
      </w:r>
      <w:r>
        <w:rPr>
          <w:rFonts w:hint="eastAsia" w:hAnsi="宋体"/>
          <w:b/>
          <w:bCs/>
          <w:color w:val="auto"/>
          <w:sz w:val="36"/>
          <w:szCs w:val="36"/>
          <w:highlight w:val="none"/>
        </w:rPr>
        <w:t xml:space="preserve">一章 </w:t>
      </w:r>
      <w:bookmarkStart w:id="4" w:name="OLE_LINK3"/>
      <w:bookmarkStart w:id="5" w:name="OLE_LINK5"/>
      <w:bookmarkStart w:id="6" w:name="OLE_LINK4"/>
      <w:r>
        <w:rPr>
          <w:rFonts w:hint="eastAsia" w:hAnsi="宋体"/>
          <w:b/>
          <w:bCs/>
          <w:color w:val="auto"/>
          <w:sz w:val="36"/>
          <w:szCs w:val="36"/>
          <w:highlight w:val="none"/>
        </w:rPr>
        <w:t>招标公告</w:t>
      </w:r>
      <w:bookmarkEnd w:id="2"/>
    </w:p>
    <w:bookmarkEnd w:id="3"/>
    <w:bookmarkEnd w:id="4"/>
    <w:bookmarkEnd w:id="5"/>
    <w:bookmarkEnd w:id="6"/>
    <w:p w14:paraId="7BB920F9">
      <w:pPr>
        <w:shd w:val="clear" w:color="auto" w:fill="FFFFFF"/>
        <w:spacing w:line="360" w:lineRule="auto"/>
        <w:ind w:firstLine="482"/>
        <w:rPr>
          <w:rFonts w:hAnsi="宋体"/>
          <w:b/>
          <w:color w:val="auto"/>
          <w:sz w:val="24"/>
          <w:szCs w:val="24"/>
          <w:highlight w:val="none"/>
        </w:rPr>
      </w:pPr>
      <w:bookmarkStart w:id="7" w:name="OLE_LINK1"/>
      <w:r>
        <w:rPr>
          <w:rFonts w:hint="eastAsia" w:hAnsi="宋体"/>
          <w:b/>
          <w:color w:val="auto"/>
          <w:sz w:val="24"/>
          <w:szCs w:val="24"/>
          <w:highlight w:val="none"/>
        </w:rPr>
        <w:t>项目概况</w:t>
      </w:r>
    </w:p>
    <w:p w14:paraId="60F92696">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太仓市公路保洁及应急处置项目的潜在投标人应在“苏采云政府采购一体化平台”中参与项目并下载获取招标文件，并于2026年0</w:t>
      </w:r>
      <w:r>
        <w:rPr>
          <w:rFonts w:hint="eastAsia" w:hAnsi="宋体"/>
          <w:color w:val="auto"/>
          <w:sz w:val="24"/>
          <w:szCs w:val="24"/>
          <w:highlight w:val="none"/>
          <w:lang w:val="en-US" w:eastAsia="zh-CN"/>
        </w:rPr>
        <w:t>7</w:t>
      </w:r>
      <w:r>
        <w:rPr>
          <w:rFonts w:hint="eastAsia" w:hAnsi="宋体"/>
          <w:color w:val="auto"/>
          <w:sz w:val="24"/>
          <w:szCs w:val="24"/>
          <w:highlight w:val="none"/>
        </w:rPr>
        <w:t>月</w:t>
      </w:r>
      <w:r>
        <w:rPr>
          <w:rFonts w:hint="eastAsia" w:hAnsi="宋体"/>
          <w:color w:val="auto"/>
          <w:sz w:val="24"/>
          <w:szCs w:val="24"/>
          <w:highlight w:val="none"/>
          <w:lang w:val="en-US" w:eastAsia="zh-CN"/>
        </w:rPr>
        <w:t>06</w:t>
      </w:r>
      <w:r>
        <w:rPr>
          <w:rFonts w:hint="eastAsia" w:hAnsi="宋体"/>
          <w:color w:val="auto"/>
          <w:sz w:val="24"/>
          <w:szCs w:val="24"/>
          <w:highlight w:val="none"/>
        </w:rPr>
        <w:t>日</w:t>
      </w:r>
      <w:r>
        <w:rPr>
          <w:rFonts w:hint="eastAsia" w:hAnsi="宋体" w:cs="等线"/>
          <w:color w:val="auto"/>
          <w:sz w:val="24"/>
          <w:szCs w:val="24"/>
          <w:highlight w:val="none"/>
        </w:rPr>
        <w:t>下</w:t>
      </w:r>
      <w:r>
        <w:rPr>
          <w:rFonts w:hint="eastAsia" w:hAnsi="宋体"/>
          <w:color w:val="auto"/>
          <w:sz w:val="24"/>
          <w:szCs w:val="24"/>
          <w:highlight w:val="none"/>
        </w:rPr>
        <w:t>午</w:t>
      </w:r>
      <w:r>
        <w:rPr>
          <w:rFonts w:hAnsi="宋体"/>
          <w:color w:val="auto"/>
          <w:sz w:val="24"/>
          <w:szCs w:val="24"/>
          <w:highlight w:val="none"/>
        </w:rPr>
        <w:t>1</w:t>
      </w:r>
      <w:r>
        <w:rPr>
          <w:rFonts w:hint="eastAsia" w:hAnsi="宋体"/>
          <w:color w:val="auto"/>
          <w:sz w:val="24"/>
          <w:szCs w:val="24"/>
          <w:highlight w:val="none"/>
        </w:rPr>
        <w:t>4：0</w:t>
      </w:r>
      <w:r>
        <w:rPr>
          <w:rFonts w:hAnsi="宋体"/>
          <w:color w:val="auto"/>
          <w:sz w:val="24"/>
          <w:szCs w:val="24"/>
          <w:highlight w:val="none"/>
        </w:rPr>
        <w:t>0</w:t>
      </w:r>
      <w:r>
        <w:rPr>
          <w:rFonts w:hint="eastAsia" w:hAnsi="宋体"/>
          <w:color w:val="auto"/>
          <w:sz w:val="24"/>
          <w:szCs w:val="24"/>
          <w:highlight w:val="none"/>
        </w:rPr>
        <w:t>时（北京时间）前上传电子投标文件。</w:t>
      </w:r>
    </w:p>
    <w:p w14:paraId="22215338">
      <w:pPr>
        <w:shd w:val="clear" w:color="auto" w:fill="FFFFFF"/>
        <w:spacing w:line="360" w:lineRule="auto"/>
        <w:ind w:firstLine="482"/>
        <w:rPr>
          <w:rFonts w:hAnsi="宋体"/>
          <w:color w:val="auto"/>
          <w:sz w:val="24"/>
          <w:szCs w:val="24"/>
          <w:highlight w:val="none"/>
        </w:rPr>
      </w:pPr>
      <w:r>
        <w:rPr>
          <w:rFonts w:hint="eastAsia" w:hAnsi="宋体"/>
          <w:b/>
          <w:bCs/>
          <w:color w:val="auto"/>
          <w:sz w:val="24"/>
          <w:szCs w:val="24"/>
          <w:highlight w:val="none"/>
        </w:rPr>
        <w:t>一、项目基本情况</w:t>
      </w:r>
    </w:p>
    <w:p w14:paraId="6B08A686">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1、项目编号：</w:t>
      </w:r>
      <w:r>
        <w:rPr>
          <w:rFonts w:hAnsi="宋体"/>
          <w:color w:val="auto"/>
          <w:sz w:val="24"/>
          <w:szCs w:val="24"/>
          <w:highlight w:val="none"/>
        </w:rPr>
        <w:t>JSZC-320585-TCAX-G2026-0007</w:t>
      </w:r>
    </w:p>
    <w:p w14:paraId="1E66B17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2、项目名称：太仓市公路保洁及应急处置项目</w:t>
      </w:r>
    </w:p>
    <w:p w14:paraId="06479AF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3、预算金额：人民币806万</w:t>
      </w:r>
      <w:r>
        <w:rPr>
          <w:rFonts w:hAnsi="宋体"/>
          <w:color w:val="auto"/>
          <w:sz w:val="24"/>
          <w:szCs w:val="24"/>
          <w:highlight w:val="none"/>
        </w:rPr>
        <w:t>元</w:t>
      </w:r>
      <w:r>
        <w:rPr>
          <w:rFonts w:hint="eastAsia" w:hAnsi="宋体"/>
          <w:color w:val="auto"/>
          <w:sz w:val="24"/>
          <w:szCs w:val="24"/>
          <w:highlight w:val="none"/>
        </w:rPr>
        <w:t>。</w:t>
      </w:r>
    </w:p>
    <w:p w14:paraId="4CFEDFD8">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4、最高限价：</w:t>
      </w:r>
      <w:r>
        <w:rPr>
          <w:rFonts w:hint="eastAsia" w:hAnsi="宋体" w:cs="楷体"/>
          <w:color w:val="auto"/>
          <w:sz w:val="24"/>
          <w:szCs w:val="24"/>
          <w:highlight w:val="none"/>
        </w:rPr>
        <w:t>同预算金额。</w:t>
      </w:r>
    </w:p>
    <w:p w14:paraId="7E392F77">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5、采购需求：</w:t>
      </w:r>
    </w:p>
    <w:p w14:paraId="6D0E676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（1）太仓市国省级及县级公路</w:t>
      </w:r>
      <w:r>
        <w:rPr>
          <w:rFonts w:hint="eastAsia" w:hAnsi="宋体"/>
          <w:color w:val="auto"/>
          <w:kern w:val="2"/>
          <w:sz w:val="24"/>
          <w:szCs w:val="24"/>
          <w:highlight w:val="none"/>
        </w:rPr>
        <w:t>路肩清理、防护清理、排水设施清理、人工清扫、路面清洗、路面积水处理、排水系统疏通、结构物附着物清理、伸缩装置清理、桥下空间清理、机械清扫、护栏清洗、防灾措施、坑槽修补、应急处置及应急基地运营等，具体见招标文件服务清单</w:t>
      </w:r>
      <w:r>
        <w:rPr>
          <w:rFonts w:hint="eastAsia" w:hAnsi="宋体"/>
          <w:color w:val="auto"/>
          <w:sz w:val="24"/>
          <w:szCs w:val="24"/>
          <w:highlight w:val="none"/>
        </w:rPr>
        <w:t>。</w:t>
      </w:r>
    </w:p>
    <w:p w14:paraId="6E8E319F">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（2）具体范围如下：</w:t>
      </w:r>
    </w:p>
    <w:p w14:paraId="14B75EE7">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①县级：城蓬线、浏昆线、浏双线、双浮线（G346~G204段暂未按G634接养，计入县道里程，后期根据实际接养情况进行调整）、南鹿线、陆璜线、岳鹿线、太沙线等8 条县道（已扣除主城核心区及娄江新城属地管养段），以及G204 辅道、东亭线、G204锡太上跨桥东西匝道、S359岳鹿线上跨桥南北匝道、浏双线广州路段、双浮路双凤段、太浏快速路（沪通铁路一期~G346）等参照县道管养线路，列养里程合计151.634km（具体养护里程每年根据实际列养里程为准）。</w:t>
      </w:r>
    </w:p>
    <w:p w14:paraId="39C9F8A9">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②国省级：G204太仓段、S339太仓段、G346太仓段、S359太仓段等太仓市域范围内接养的普通国省道，总里程为103.937km（养护里程每年根据实际列养里程为准，合同期间涉及G634太仓段以实际接养情况计算里程）。</w:t>
      </w:r>
    </w:p>
    <w:p w14:paraId="206F02AC">
      <w:pPr>
        <w:widowControl/>
        <w:snapToGrid w:val="0"/>
        <w:spacing w:line="360" w:lineRule="auto"/>
        <w:ind w:firstLine="480" w:firstLineChars="200"/>
        <w:jc w:val="both"/>
        <w:rPr>
          <w:rFonts w:hAnsi="宋体"/>
          <w:color w:val="auto"/>
          <w:kern w:val="2"/>
          <w:sz w:val="24"/>
          <w:szCs w:val="24"/>
          <w:highlight w:val="none"/>
        </w:rPr>
      </w:pPr>
      <w:r>
        <w:rPr>
          <w:rFonts w:hint="eastAsia" w:hAnsi="宋体"/>
          <w:color w:val="auto"/>
          <w:sz w:val="24"/>
          <w:szCs w:val="24"/>
          <w:highlight w:val="none"/>
        </w:rPr>
        <w:t>6、合同履行期限：一年，</w:t>
      </w:r>
      <w:r>
        <w:rPr>
          <w:rFonts w:hint="eastAsia" w:hAnsi="宋体"/>
          <w:color w:val="auto"/>
          <w:kern w:val="2"/>
          <w:sz w:val="24"/>
          <w:szCs w:val="24"/>
          <w:highlight w:val="none"/>
        </w:rPr>
        <w:t>2</w:t>
      </w:r>
      <w:r>
        <w:rPr>
          <w:rFonts w:hAnsi="宋体"/>
          <w:color w:val="auto"/>
          <w:kern w:val="2"/>
          <w:sz w:val="24"/>
          <w:szCs w:val="24"/>
          <w:highlight w:val="none"/>
        </w:rPr>
        <w:t>026</w:t>
      </w:r>
      <w:r>
        <w:rPr>
          <w:rFonts w:hint="eastAsia" w:hAnsi="宋体"/>
          <w:color w:val="auto"/>
          <w:kern w:val="2"/>
          <w:sz w:val="24"/>
          <w:szCs w:val="24"/>
          <w:highlight w:val="none"/>
        </w:rPr>
        <w:t>年8月1日至2</w:t>
      </w:r>
      <w:r>
        <w:rPr>
          <w:rFonts w:hAnsi="宋体"/>
          <w:color w:val="auto"/>
          <w:kern w:val="2"/>
          <w:sz w:val="24"/>
          <w:szCs w:val="24"/>
          <w:highlight w:val="none"/>
        </w:rPr>
        <w:t>027</w:t>
      </w:r>
      <w:r>
        <w:rPr>
          <w:rFonts w:hint="eastAsia" w:hAnsi="宋体"/>
          <w:color w:val="auto"/>
          <w:kern w:val="2"/>
          <w:sz w:val="24"/>
          <w:szCs w:val="24"/>
          <w:highlight w:val="none"/>
        </w:rPr>
        <w:t>年7月3</w:t>
      </w:r>
      <w:r>
        <w:rPr>
          <w:rFonts w:hAnsi="宋体"/>
          <w:color w:val="auto"/>
          <w:kern w:val="2"/>
          <w:sz w:val="24"/>
          <w:szCs w:val="24"/>
          <w:highlight w:val="none"/>
        </w:rPr>
        <w:t>1</w:t>
      </w:r>
      <w:r>
        <w:rPr>
          <w:rFonts w:hint="eastAsia" w:hAnsi="宋体"/>
          <w:color w:val="auto"/>
          <w:kern w:val="2"/>
          <w:sz w:val="24"/>
          <w:szCs w:val="24"/>
          <w:highlight w:val="none"/>
        </w:rPr>
        <w:t>日。</w:t>
      </w:r>
    </w:p>
    <w:p w14:paraId="7A59162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7、本项目不接受联合体投标。</w:t>
      </w:r>
    </w:p>
    <w:p w14:paraId="3F09D2A6">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二、申请人的资格要求:</w:t>
      </w:r>
    </w:p>
    <w:p w14:paraId="183F0B65">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（一）满足《中华人民共和国政府采购法》第二十二条规定：</w:t>
      </w:r>
    </w:p>
    <w:p w14:paraId="093714B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1、具有独立承担民事责任的能力（提供法人或者其他组织的营业执照等证明文件，自然人的身份证明）</w:t>
      </w:r>
    </w:p>
    <w:p w14:paraId="4030408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2、具有良好的商业信誉和健全的财务会计制度（提供最近一期的财务状况报告，其他组织、自然人提供银行出具的资信证明，成立不满一年无需提供）</w:t>
      </w:r>
    </w:p>
    <w:p w14:paraId="6A3AFD90">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w:t>
      </w:r>
      <w:bookmarkStart w:id="8" w:name="OLE_LINK8"/>
      <w:bookmarkStart w:id="9" w:name="OLE_LINK9"/>
      <w:r>
        <w:rPr>
          <w:rFonts w:hint="eastAsia" w:hAnsi="宋体"/>
          <w:color w:val="auto"/>
          <w:sz w:val="24"/>
          <w:szCs w:val="24"/>
          <w:highlight w:val="none"/>
        </w:rPr>
        <w:t>具有履行合同所必需的设备和专业技术能力（具备履行合同所必需的设备和专业技术能力的证明材料）</w:t>
      </w:r>
      <w:bookmarkEnd w:id="8"/>
      <w:bookmarkEnd w:id="9"/>
      <w:r>
        <w:rPr>
          <w:rFonts w:hint="eastAsia" w:hAnsi="宋体"/>
          <w:color w:val="auto"/>
          <w:sz w:val="24"/>
          <w:szCs w:val="24"/>
          <w:highlight w:val="none"/>
        </w:rPr>
        <w:t>；</w:t>
      </w:r>
    </w:p>
    <w:p w14:paraId="458D0299">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4、有依法缴纳税收和社会保障资金的良好记录（提供参加本次政府采购活动前半年（至少一个月）依法缴纳税收和社会保障资金的证明材料，依法免税或不需要缴纳社会保障资金的，提供相关证明文件）；</w:t>
      </w:r>
    </w:p>
    <w:p w14:paraId="4A717FDD">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5、参加政府采购活动前三年内，在经营活动中没有重大违法记录（提供参加本次政府采购活动前3年内在经营活动中没有重大违法记录的书面声明）；</w:t>
      </w:r>
    </w:p>
    <w:p w14:paraId="17BAA5BB">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6、法律、行政法规规定的其他条件。</w:t>
      </w:r>
    </w:p>
    <w:p w14:paraId="0224257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（二）落实政府采购政策需满足的资格要求：见招标文件。</w:t>
      </w:r>
    </w:p>
    <w:p w14:paraId="00AAA25A">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（三）本项目的特定资格要求：</w:t>
      </w:r>
    </w:p>
    <w:p w14:paraId="1A88A943">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1、具有履行合同所必需的设备和专业技术能力为：</w:t>
      </w:r>
    </w:p>
    <w:p w14:paraId="23DA8FAE">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w:t>
      </w:r>
      <w:r>
        <w:rPr>
          <w:rFonts w:hint="eastAsia" w:hAnsi="宋体"/>
          <w:color w:val="auto"/>
          <w:sz w:val="24"/>
          <w:szCs w:val="24"/>
          <w:highlight w:val="none"/>
        </w:rPr>
        <w:t>）车辆：巡查和应急处置车辆</w:t>
      </w:r>
      <w:r>
        <w:rPr>
          <w:rFonts w:hAnsi="宋体"/>
          <w:color w:val="auto"/>
          <w:sz w:val="24"/>
          <w:szCs w:val="24"/>
          <w:highlight w:val="none"/>
        </w:rPr>
        <w:t>4</w:t>
      </w:r>
      <w:r>
        <w:rPr>
          <w:rFonts w:hint="eastAsia" w:hAnsi="宋体"/>
          <w:color w:val="auto"/>
          <w:sz w:val="24"/>
          <w:szCs w:val="24"/>
          <w:highlight w:val="none"/>
        </w:rPr>
        <w:t>辆（汽车）、核定载质量≥500KG的垃圾装运车</w:t>
      </w:r>
      <w:r>
        <w:rPr>
          <w:rFonts w:hAnsi="宋体"/>
          <w:color w:val="auto"/>
          <w:sz w:val="24"/>
          <w:szCs w:val="24"/>
          <w:highlight w:val="none"/>
        </w:rPr>
        <w:t>4</w:t>
      </w:r>
      <w:r>
        <w:rPr>
          <w:rFonts w:hint="eastAsia" w:hAnsi="宋体"/>
          <w:color w:val="auto"/>
          <w:sz w:val="24"/>
          <w:szCs w:val="24"/>
          <w:highlight w:val="none"/>
        </w:rPr>
        <w:t>辆、核定载质量≥3000KG的洒水车</w:t>
      </w:r>
      <w:r>
        <w:rPr>
          <w:rFonts w:hAnsi="宋体"/>
          <w:color w:val="auto"/>
          <w:sz w:val="24"/>
          <w:szCs w:val="24"/>
          <w:highlight w:val="none"/>
        </w:rPr>
        <w:t>1</w:t>
      </w:r>
      <w:r>
        <w:rPr>
          <w:rFonts w:hint="eastAsia" w:hAnsi="宋体"/>
          <w:color w:val="auto"/>
          <w:sz w:val="24"/>
          <w:szCs w:val="24"/>
          <w:highlight w:val="none"/>
        </w:rPr>
        <w:t>辆。（以上车辆如为自有的，投标文件中提供以上所有车辆的行驶证或产权证或购置发票等权属证明；如为租赁的在投标文件中提供租赁合同、租赁发票、行驶证或产权证或购置发票等权属证明。如上述材料无法体现核定载质量，则须提供其他证明材料。）</w:t>
      </w:r>
    </w:p>
    <w:p w14:paraId="7F4C43A0">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2</w:t>
      </w:r>
      <w:r>
        <w:rPr>
          <w:rFonts w:hint="eastAsia" w:hAnsi="宋体"/>
          <w:color w:val="auto"/>
          <w:sz w:val="24"/>
          <w:szCs w:val="24"/>
          <w:highlight w:val="none"/>
        </w:rPr>
        <w:t>）驾驶员：部分机械清扫车辆由采购人提供（具体见招标文件甲供车辆清单），投标单位需至少配备</w:t>
      </w:r>
      <w:r>
        <w:rPr>
          <w:rFonts w:hAnsi="宋体"/>
          <w:color w:val="auto"/>
          <w:sz w:val="24"/>
          <w:szCs w:val="24"/>
          <w:highlight w:val="none"/>
        </w:rPr>
        <w:t>10</w:t>
      </w:r>
      <w:r>
        <w:rPr>
          <w:rFonts w:hint="eastAsia" w:hAnsi="宋体"/>
          <w:color w:val="auto"/>
          <w:sz w:val="24"/>
          <w:szCs w:val="24"/>
          <w:highlight w:val="none"/>
        </w:rPr>
        <w:t>名驾驶员，且须持有A1或A2或B2类驾驶证。（提供人员驾驶证及近三个月内任意一期投标单位为其缴纳社保的证明材料。）</w:t>
      </w:r>
    </w:p>
    <w:p w14:paraId="57CDB336">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（四）拒绝下述供应商参加本次采购活动：</w:t>
      </w:r>
    </w:p>
    <w:p w14:paraId="5DB92000">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1、供应商单位负责人为同一人或者存在直接控股、管理关系的不同供应商，不得参加同一合同项下的政府采购活动。</w:t>
      </w:r>
    </w:p>
    <w:p w14:paraId="4F0C6BC3">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2、凡为采购项目提供整体设计、规范编制或者项目管理、监理、检测等服务的供应商，不得再参加本项目的采购活动。</w:t>
      </w:r>
    </w:p>
    <w:p w14:paraId="70D3DC62">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3、法人的分支机构不得参加投标（除银行、保险、石油石化、电力、电信等行业特殊情况外）</w:t>
      </w:r>
    </w:p>
    <w:p w14:paraId="5DDEB807">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75B40317">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三、获取招标文件</w:t>
      </w:r>
    </w:p>
    <w:p w14:paraId="0DE1951B">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1、依法获取电子招标文件：</w:t>
      </w:r>
    </w:p>
    <w:p w14:paraId="4E76650A">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投标人自公告发布之日起五个工作日，</w:t>
      </w:r>
      <w:r>
        <w:rPr>
          <w:rFonts w:hint="eastAsia" w:hAnsi="宋体" w:cs="等线"/>
          <w:b/>
          <w:bCs/>
          <w:color w:val="auto"/>
          <w:sz w:val="24"/>
          <w:szCs w:val="24"/>
          <w:highlight w:val="none"/>
        </w:rPr>
        <w:t>进入苏州市政府采购网，点击底部苏采云图标，登录苏采云政府采购一体化平台下载电子招标文件。</w:t>
      </w:r>
    </w:p>
    <w:p w14:paraId="27EC98AE">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2、获取方式：网上下载电子招标文件。</w:t>
      </w:r>
    </w:p>
    <w:p w14:paraId="1E0E1605">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3、本项目免费下载电子招标文件。</w:t>
      </w:r>
    </w:p>
    <w:p w14:paraId="3B5583D7">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四、提交投标文件截止时间、开标时间和地点</w:t>
      </w:r>
    </w:p>
    <w:p w14:paraId="13129B1B">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1、加密的电子投标文件上传截止时间：</w:t>
      </w:r>
      <w:r>
        <w:rPr>
          <w:rFonts w:hAnsi="宋体" w:cs="等线"/>
          <w:color w:val="auto"/>
          <w:sz w:val="24"/>
          <w:szCs w:val="24"/>
          <w:highlight w:val="none"/>
        </w:rPr>
        <w:t>2026年0</w:t>
      </w:r>
      <w:r>
        <w:rPr>
          <w:rFonts w:hint="eastAsia" w:hAnsi="宋体" w:cs="等线"/>
          <w:color w:val="auto"/>
          <w:sz w:val="24"/>
          <w:szCs w:val="24"/>
          <w:highlight w:val="none"/>
          <w:lang w:val="en-US" w:eastAsia="zh-CN"/>
        </w:rPr>
        <w:t>7</w:t>
      </w:r>
      <w:r>
        <w:rPr>
          <w:rFonts w:hAnsi="宋体" w:cs="等线"/>
          <w:color w:val="auto"/>
          <w:sz w:val="24"/>
          <w:szCs w:val="24"/>
          <w:highlight w:val="none"/>
        </w:rPr>
        <w:t>月</w:t>
      </w:r>
      <w:r>
        <w:rPr>
          <w:rFonts w:hint="eastAsia" w:hAnsi="宋体" w:cs="等线"/>
          <w:color w:val="auto"/>
          <w:sz w:val="24"/>
          <w:szCs w:val="24"/>
          <w:highlight w:val="none"/>
          <w:lang w:val="en-US" w:eastAsia="zh-CN"/>
        </w:rPr>
        <w:t>06</w:t>
      </w:r>
      <w:r>
        <w:rPr>
          <w:rFonts w:hAnsi="宋体" w:cs="等线"/>
          <w:color w:val="auto"/>
          <w:sz w:val="24"/>
          <w:szCs w:val="24"/>
          <w:highlight w:val="none"/>
        </w:rPr>
        <w:t>日</w:t>
      </w:r>
      <w:r>
        <w:rPr>
          <w:rFonts w:hint="eastAsia" w:hAnsi="宋体" w:cs="等线"/>
          <w:color w:val="auto"/>
          <w:sz w:val="24"/>
          <w:szCs w:val="24"/>
          <w:highlight w:val="none"/>
        </w:rPr>
        <w:t>下</w:t>
      </w:r>
      <w:r>
        <w:rPr>
          <w:rFonts w:hint="eastAsia" w:hAnsi="宋体"/>
          <w:color w:val="auto"/>
          <w:sz w:val="24"/>
          <w:szCs w:val="24"/>
          <w:highlight w:val="none"/>
        </w:rPr>
        <w:t>午14：00时</w:t>
      </w:r>
      <w:r>
        <w:rPr>
          <w:rFonts w:hint="eastAsia" w:hAnsi="宋体" w:cs="等线"/>
          <w:color w:val="auto"/>
          <w:sz w:val="24"/>
          <w:szCs w:val="24"/>
          <w:highlight w:val="none"/>
        </w:rPr>
        <w:t>（北京时间），</w:t>
      </w:r>
      <w:r>
        <w:rPr>
          <w:rFonts w:hint="eastAsia" w:hAnsi="宋体" w:cs="等线"/>
          <w:b/>
          <w:bCs/>
          <w:color w:val="auto"/>
          <w:sz w:val="24"/>
          <w:szCs w:val="24"/>
          <w:highlight w:val="none"/>
        </w:rPr>
        <w:t>投标人登录苏采云政府采购一体化平台，进入“参与详情”页面，上传电子投标文件。</w:t>
      </w:r>
    </w:p>
    <w:p w14:paraId="39151E16">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注：考虑网络上传速度因素，请投标供应商适当提前上传电子投标文件。</w:t>
      </w:r>
    </w:p>
    <w:p w14:paraId="1F230D56">
      <w:pPr>
        <w:spacing w:line="360" w:lineRule="auto"/>
        <w:ind w:firstLine="480"/>
        <w:rPr>
          <w:rFonts w:hAnsi="宋体" w:cs="等线"/>
          <w:color w:val="auto"/>
          <w:sz w:val="24"/>
          <w:szCs w:val="24"/>
          <w:highlight w:val="none"/>
        </w:rPr>
      </w:pPr>
      <w:r>
        <w:rPr>
          <w:rFonts w:hAnsi="宋体" w:cs="等线"/>
          <w:color w:val="auto"/>
          <w:sz w:val="24"/>
          <w:szCs w:val="24"/>
          <w:highlight w:val="none"/>
        </w:rPr>
        <w:t>2</w:t>
      </w:r>
      <w:r>
        <w:rPr>
          <w:rFonts w:hint="eastAsia" w:hAnsi="宋体" w:cs="等线"/>
          <w:color w:val="auto"/>
          <w:sz w:val="24"/>
          <w:szCs w:val="24"/>
          <w:highlight w:val="none"/>
        </w:rPr>
        <w:t>、开标时间：</w:t>
      </w:r>
      <w:r>
        <w:rPr>
          <w:rFonts w:hAnsi="宋体" w:cs="等线"/>
          <w:color w:val="auto"/>
          <w:sz w:val="24"/>
          <w:szCs w:val="24"/>
          <w:highlight w:val="none"/>
        </w:rPr>
        <w:t>2026年</w:t>
      </w:r>
      <w:r>
        <w:rPr>
          <w:rFonts w:hint="eastAsia" w:hAnsi="宋体" w:cs="等线"/>
          <w:color w:val="auto"/>
          <w:sz w:val="24"/>
          <w:szCs w:val="24"/>
          <w:highlight w:val="none"/>
        </w:rPr>
        <w:t>0</w:t>
      </w:r>
      <w:r>
        <w:rPr>
          <w:rFonts w:hint="eastAsia" w:hAnsi="宋体" w:cs="等线"/>
          <w:color w:val="auto"/>
          <w:sz w:val="24"/>
          <w:szCs w:val="24"/>
          <w:highlight w:val="none"/>
          <w:lang w:val="en-US" w:eastAsia="zh-CN"/>
        </w:rPr>
        <w:t>7</w:t>
      </w:r>
      <w:r>
        <w:rPr>
          <w:rFonts w:hAnsi="宋体" w:cs="等线"/>
          <w:color w:val="auto"/>
          <w:sz w:val="24"/>
          <w:szCs w:val="24"/>
          <w:highlight w:val="none"/>
        </w:rPr>
        <w:t>月</w:t>
      </w:r>
      <w:r>
        <w:rPr>
          <w:rFonts w:hint="eastAsia" w:hAnsi="宋体" w:cs="等线"/>
          <w:color w:val="auto"/>
          <w:sz w:val="24"/>
          <w:szCs w:val="24"/>
          <w:highlight w:val="none"/>
          <w:lang w:val="en-US" w:eastAsia="zh-CN"/>
        </w:rPr>
        <w:t>06</w:t>
      </w:r>
      <w:r>
        <w:rPr>
          <w:rFonts w:hAnsi="宋体" w:cs="等线"/>
          <w:color w:val="auto"/>
          <w:sz w:val="24"/>
          <w:szCs w:val="24"/>
          <w:highlight w:val="none"/>
        </w:rPr>
        <w:t>日</w:t>
      </w:r>
      <w:r>
        <w:rPr>
          <w:rFonts w:hint="eastAsia" w:hAnsi="宋体" w:cs="等线"/>
          <w:color w:val="auto"/>
          <w:sz w:val="24"/>
          <w:szCs w:val="24"/>
          <w:highlight w:val="none"/>
        </w:rPr>
        <w:t>下</w:t>
      </w:r>
      <w:r>
        <w:rPr>
          <w:rFonts w:hint="eastAsia" w:hAnsi="宋体"/>
          <w:color w:val="auto"/>
          <w:sz w:val="24"/>
          <w:szCs w:val="24"/>
          <w:highlight w:val="none"/>
        </w:rPr>
        <w:t>午</w:t>
      </w:r>
      <w:r>
        <w:rPr>
          <w:rFonts w:hAnsi="宋体"/>
          <w:color w:val="auto"/>
          <w:sz w:val="24"/>
          <w:szCs w:val="24"/>
          <w:highlight w:val="none"/>
        </w:rPr>
        <w:t>1</w:t>
      </w:r>
      <w:r>
        <w:rPr>
          <w:rFonts w:hint="eastAsia" w:hAnsi="宋体"/>
          <w:color w:val="auto"/>
          <w:sz w:val="24"/>
          <w:szCs w:val="24"/>
          <w:highlight w:val="none"/>
        </w:rPr>
        <w:t>4：00时</w:t>
      </w:r>
      <w:r>
        <w:rPr>
          <w:rFonts w:hint="eastAsia" w:hAnsi="宋体" w:cs="等线"/>
          <w:color w:val="auto"/>
          <w:sz w:val="24"/>
          <w:szCs w:val="24"/>
          <w:highlight w:val="none"/>
        </w:rPr>
        <w:t>（北京时间）</w:t>
      </w:r>
    </w:p>
    <w:p w14:paraId="160ACE93">
      <w:pPr>
        <w:spacing w:line="360" w:lineRule="auto"/>
        <w:ind w:firstLine="480"/>
        <w:rPr>
          <w:rFonts w:hAnsi="宋体" w:cs="等线"/>
          <w:color w:val="auto"/>
          <w:sz w:val="24"/>
          <w:szCs w:val="24"/>
          <w:highlight w:val="none"/>
        </w:rPr>
      </w:pPr>
      <w:r>
        <w:rPr>
          <w:rFonts w:hAnsi="宋体" w:cs="等线"/>
          <w:color w:val="auto"/>
          <w:sz w:val="24"/>
          <w:szCs w:val="24"/>
          <w:highlight w:val="none"/>
        </w:rPr>
        <w:t>3</w:t>
      </w:r>
      <w:r>
        <w:rPr>
          <w:rFonts w:hint="eastAsia" w:hAnsi="宋体" w:cs="等线"/>
          <w:color w:val="auto"/>
          <w:sz w:val="24"/>
          <w:szCs w:val="24"/>
          <w:highlight w:val="none"/>
        </w:rPr>
        <w:t>、开标地点：苏采云网上不见面开标大厅</w:t>
      </w:r>
    </w:p>
    <w:p w14:paraId="188A4001">
      <w:pPr>
        <w:spacing w:line="360" w:lineRule="auto"/>
        <w:ind w:firstLine="480"/>
        <w:rPr>
          <w:rFonts w:hAnsi="宋体" w:cs="等线"/>
          <w:color w:val="auto"/>
          <w:sz w:val="24"/>
          <w:szCs w:val="24"/>
          <w:highlight w:val="none"/>
        </w:rPr>
      </w:pPr>
      <w:r>
        <w:rPr>
          <w:rFonts w:hint="eastAsia" w:hAnsi="宋体" w:cs="等线"/>
          <w:color w:val="auto"/>
          <w:sz w:val="24"/>
          <w:szCs w:val="24"/>
          <w:highlight w:val="none"/>
        </w:rPr>
        <w:t>4、现场地址：太仓市陆渡街道万金北路88号4栋不见面开标间</w:t>
      </w:r>
    </w:p>
    <w:p w14:paraId="3D54AE5D">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五、公告期限：</w:t>
      </w:r>
    </w:p>
    <w:p w14:paraId="58423E87">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shd w:val="clear" w:color="auto" w:fill="FFFFFF"/>
        </w:rPr>
        <w:t>自本公告发布之日起5个工作日。</w:t>
      </w:r>
    </w:p>
    <w:p w14:paraId="5B73174A">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六、其他补充事宜</w:t>
      </w:r>
    </w:p>
    <w:p w14:paraId="7FD866A0">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1、本项目需要使用CA数字证书制作、上传电子投标文件完成电子投标，请供应商在参加投标活动前办理好CA数字证书申领及电子签章等操作。</w:t>
      </w:r>
    </w:p>
    <w:p w14:paraId="3B3EF6F7">
      <w:pPr>
        <w:widowControl/>
        <w:adjustRightInd w:val="0"/>
        <w:snapToGrid w:val="0"/>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59DC8A72">
      <w:pPr>
        <w:widowControl/>
        <w:adjustRightInd w:val="0"/>
        <w:snapToGrid w:val="0"/>
        <w:spacing w:line="360" w:lineRule="auto"/>
        <w:ind w:firstLine="482" w:firstLineChars="200"/>
        <w:rPr>
          <w:rFonts w:hAnsi="宋体"/>
          <w:color w:val="auto"/>
          <w:sz w:val="24"/>
          <w:szCs w:val="24"/>
          <w:highlight w:val="none"/>
        </w:rPr>
      </w:pPr>
      <w:r>
        <w:rPr>
          <w:rFonts w:hint="eastAsia" w:hAnsi="宋体"/>
          <w:b/>
          <w:color w:val="auto"/>
          <w:sz w:val="24"/>
          <w:szCs w:val="24"/>
          <w:highlight w:val="none"/>
        </w:rPr>
        <w:t>3、本项目采用不见面开标，投标人开标时无需到开标现场进行解密，采取网上开标大厅解密电子投标文件，投标人远程解密要求如下：</w:t>
      </w:r>
    </w:p>
    <w:p w14:paraId="57A81261">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39B247AE">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2）投标人登录苏采云系统，点击开标大厅，选择开标项目，完成不见面开标流程。</w:t>
      </w:r>
    </w:p>
    <w:p w14:paraId="0D00CD26">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3）投标截止时间后根据系统提示解密电子投标文件。</w:t>
      </w:r>
      <w:r>
        <w:rPr>
          <w:rFonts w:hint="eastAsia" w:hAnsi="宋体"/>
          <w:b/>
          <w:color w:val="auto"/>
          <w:sz w:val="24"/>
          <w:szCs w:val="24"/>
          <w:highlight w:val="none"/>
        </w:rPr>
        <w:t>解密时间为15分钟，</w:t>
      </w:r>
      <w:r>
        <w:rPr>
          <w:rFonts w:hint="eastAsia" w:hAnsi="宋体"/>
          <w:color w:val="auto"/>
          <w:sz w:val="24"/>
          <w:szCs w:val="24"/>
          <w:highlight w:val="none"/>
        </w:rPr>
        <w:t>未在规定时间内完成解密，其投标文件将被拒绝，不参与后续投标流程。</w:t>
      </w:r>
    </w:p>
    <w:p w14:paraId="377E9066">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33F8A076">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4、</w:t>
      </w:r>
      <w:r>
        <w:rPr>
          <w:rFonts w:hint="eastAsia" w:hAnsi="宋体"/>
          <w:b/>
          <w:color w:val="auto"/>
          <w:sz w:val="24"/>
          <w:szCs w:val="24"/>
          <w:highlight w:val="none"/>
        </w:rPr>
        <w:t>有关苏采云系统驱动安装，</w:t>
      </w:r>
      <w:r>
        <w:rPr>
          <w:rFonts w:hint="eastAsia" w:hAnsi="宋体"/>
          <w:color w:val="auto"/>
          <w:sz w:val="24"/>
          <w:szCs w:val="24"/>
          <w:highlight w:val="none"/>
        </w:rPr>
        <w:t>登录苏州政府采购网，点击页面底部苏采云图标，进入苏采云政府采购一体化平台，点击“驱动下载”，下载</w:t>
      </w:r>
      <w:r>
        <w:rPr>
          <w:rFonts w:hint="eastAsia" w:hAnsi="宋体"/>
          <w:b/>
          <w:color w:val="auto"/>
          <w:sz w:val="24"/>
          <w:szCs w:val="24"/>
          <w:highlight w:val="none"/>
        </w:rPr>
        <w:t>“政务CA、方正签章控件驱动安装包及安装说明”</w:t>
      </w:r>
      <w:r>
        <w:rPr>
          <w:rFonts w:hint="eastAsia" w:hAnsi="宋体"/>
          <w:color w:val="auto"/>
          <w:sz w:val="24"/>
          <w:szCs w:val="24"/>
          <w:highlight w:val="none"/>
        </w:rPr>
        <w:t>文件，按要求安装驱动。</w:t>
      </w:r>
    </w:p>
    <w:p w14:paraId="365DA92A">
      <w:pPr>
        <w:widowControl/>
        <w:adjustRightInd w:val="0"/>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5、</w:t>
      </w:r>
      <w:r>
        <w:rPr>
          <w:rFonts w:hint="eastAsia" w:hAnsi="宋体"/>
          <w:b/>
          <w:color w:val="auto"/>
          <w:sz w:val="24"/>
          <w:szCs w:val="24"/>
          <w:highlight w:val="none"/>
        </w:rPr>
        <w:t>有关供应商注册、报名、下载电子招标文件、制作上传电子投标文件</w:t>
      </w:r>
      <w:r>
        <w:rPr>
          <w:rFonts w:hint="eastAsia" w:hAnsi="宋体"/>
          <w:color w:val="auto"/>
          <w:sz w:val="24"/>
          <w:szCs w:val="24"/>
          <w:highlight w:val="none"/>
        </w:rPr>
        <w:t>、不见面开标及其他注意事项登录苏州政府采购网，在“下载中心”栏目下载“</w:t>
      </w:r>
      <w:r>
        <w:rPr>
          <w:rFonts w:hint="eastAsia" w:hAnsi="宋体"/>
          <w:b/>
          <w:color w:val="auto"/>
          <w:sz w:val="24"/>
          <w:szCs w:val="24"/>
          <w:highlight w:val="none"/>
        </w:rPr>
        <w:t>苏采云系统供应商操作</w:t>
      </w:r>
      <w:r>
        <w:rPr>
          <w:rFonts w:hint="eastAsia" w:hAnsi="宋体"/>
          <w:b/>
          <w:bCs/>
          <w:color w:val="auto"/>
          <w:sz w:val="24"/>
          <w:szCs w:val="24"/>
          <w:highlight w:val="none"/>
        </w:rPr>
        <w:t>手册</w:t>
      </w:r>
      <w:r>
        <w:rPr>
          <w:rFonts w:hint="eastAsia" w:hAnsi="宋体"/>
          <w:color w:val="auto"/>
          <w:sz w:val="24"/>
          <w:szCs w:val="24"/>
          <w:highlight w:val="none"/>
        </w:rPr>
        <w:t>”查阅。</w:t>
      </w:r>
    </w:p>
    <w:p w14:paraId="26EE4C8D">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6、有关办理CA数字申领及电子签章事项，登录苏州政府采购网，点击页面底部苏采云图标，进入苏采云政府采购一体化平台，下载“新CA办理指南”文件查阅。</w:t>
      </w:r>
    </w:p>
    <w:p w14:paraId="51EC4F0B">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7、有关电子投标制作技术疑问，请咨询苏采云软件公司客服：18261002950、0512-69820854、0519-86722802</w:t>
      </w:r>
    </w:p>
    <w:p w14:paraId="66223B6B">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8、履约保证金：无。</w:t>
      </w:r>
    </w:p>
    <w:p w14:paraId="7E836B78">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9、本次招标投标保证金：无。</w:t>
      </w:r>
    </w:p>
    <w:p w14:paraId="61D917A4">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10、政府采购信用融资政策：中标供应商可凭政府采购合同办理融资贷款，详情请见江苏政府采购网“政采贷”专栏。</w:t>
      </w:r>
    </w:p>
    <w:p w14:paraId="5C333D00">
      <w:pPr>
        <w:widowControl/>
        <w:adjustRightInd w:val="0"/>
        <w:snapToGrid w:val="0"/>
        <w:spacing w:line="360" w:lineRule="auto"/>
        <w:ind w:firstLine="480" w:firstLineChars="200"/>
        <w:rPr>
          <w:rFonts w:ascii="Times New Roman" w:cs="Times New Roman"/>
          <w:color w:val="auto"/>
          <w:sz w:val="24"/>
          <w:szCs w:val="24"/>
          <w:highlight w:val="none"/>
        </w:rPr>
      </w:pPr>
      <w:r>
        <w:rPr>
          <w:rFonts w:hint="eastAsia" w:hAnsi="宋体"/>
          <w:color w:val="auto"/>
          <w:sz w:val="24"/>
          <w:szCs w:val="24"/>
          <w:highlight w:val="none"/>
          <w:shd w:val="clear" w:color="auto" w:fill="FFFFFF"/>
        </w:rPr>
        <w:t>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color w:val="auto"/>
          <w:sz w:val="24"/>
          <w:szCs w:val="24"/>
          <w:highlight w:val="none"/>
        </w:rPr>
        <w:t>。</w:t>
      </w:r>
    </w:p>
    <w:p w14:paraId="5C4795E8">
      <w:pPr>
        <w:widowControl/>
        <w:adjustRightInd w:val="0"/>
        <w:snapToGrid w:val="0"/>
        <w:spacing w:line="360" w:lineRule="auto"/>
        <w:ind w:firstLine="480" w:firstLineChars="200"/>
        <w:rPr>
          <w:rFonts w:hAnsi="宋体"/>
          <w:color w:val="auto"/>
          <w:sz w:val="24"/>
          <w:szCs w:val="24"/>
          <w:highlight w:val="none"/>
          <w:shd w:val="clear" w:color="auto" w:fill="FFFFFF"/>
        </w:rPr>
      </w:pPr>
      <w:r>
        <w:rPr>
          <w:rFonts w:hAnsi="宋体"/>
          <w:color w:val="auto"/>
          <w:sz w:val="24"/>
          <w:szCs w:val="24"/>
          <w:highlight w:val="none"/>
          <w:shd w:val="clear" w:color="auto" w:fill="FFFFFF"/>
        </w:rPr>
        <w:t>12</w:t>
      </w:r>
      <w:r>
        <w:rPr>
          <w:rFonts w:hint="eastAsia" w:hAnsi="宋体"/>
          <w:color w:val="auto"/>
          <w:sz w:val="24"/>
          <w:szCs w:val="24"/>
          <w:highlight w:val="none"/>
          <w:shd w:val="clear" w:color="auto" w:fill="FFFFFF"/>
        </w:rPr>
        <w:t>、政府采购监督电话：0512-53512539</w:t>
      </w:r>
      <w:r>
        <w:rPr>
          <w:rFonts w:hint="eastAsia" w:hAnsi="宋体" w:cs="等线"/>
          <w:color w:val="auto"/>
          <w:sz w:val="24"/>
          <w:szCs w:val="24"/>
          <w:highlight w:val="none"/>
        </w:rPr>
        <w:t>。</w:t>
      </w:r>
    </w:p>
    <w:p w14:paraId="163AEC11">
      <w:pPr>
        <w:shd w:val="clear" w:color="auto" w:fill="FFFFFF"/>
        <w:spacing w:line="360" w:lineRule="auto"/>
        <w:ind w:firstLine="482"/>
        <w:rPr>
          <w:rFonts w:hAnsi="宋体"/>
          <w:b/>
          <w:bCs/>
          <w:color w:val="auto"/>
          <w:sz w:val="24"/>
          <w:szCs w:val="24"/>
          <w:highlight w:val="none"/>
        </w:rPr>
      </w:pPr>
      <w:r>
        <w:rPr>
          <w:rFonts w:hint="eastAsia" w:hAnsi="宋体"/>
          <w:b/>
          <w:bCs/>
          <w:color w:val="auto"/>
          <w:sz w:val="24"/>
          <w:szCs w:val="24"/>
          <w:highlight w:val="none"/>
        </w:rPr>
        <w:t>七、对本次招标提出询问，请按以下方式联系</w:t>
      </w:r>
    </w:p>
    <w:p w14:paraId="4AF599D0">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1、采购人信息：</w:t>
      </w:r>
    </w:p>
    <w:p w14:paraId="2F9D6DF8">
      <w:pPr>
        <w:widowControl/>
        <w:spacing w:line="360" w:lineRule="auto"/>
        <w:ind w:firstLine="480"/>
        <w:rPr>
          <w:rFonts w:hAnsi="宋体" w:cs="等线"/>
          <w:color w:val="auto"/>
          <w:sz w:val="24"/>
          <w:szCs w:val="24"/>
          <w:highlight w:val="none"/>
        </w:rPr>
      </w:pPr>
      <w:bookmarkStart w:id="10" w:name="_Hlk136250317"/>
      <w:r>
        <w:rPr>
          <w:rFonts w:hint="eastAsia" w:hAnsi="宋体" w:cs="等线"/>
          <w:color w:val="auto"/>
          <w:sz w:val="24"/>
          <w:szCs w:val="24"/>
          <w:highlight w:val="none"/>
        </w:rPr>
        <w:t>名    称：太仓市交通运输局</w:t>
      </w:r>
    </w:p>
    <w:p w14:paraId="6E3F39FF">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地    址：</w:t>
      </w:r>
      <w:r>
        <w:rPr>
          <w:rFonts w:hint="eastAsia"/>
          <w:color w:val="auto"/>
          <w:sz w:val="24"/>
          <w:highlight w:val="none"/>
        </w:rPr>
        <w:t>太仓市县府东街99号</w:t>
      </w:r>
    </w:p>
    <w:p w14:paraId="60DF65D8">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联系方式：</w:t>
      </w:r>
      <w:bookmarkEnd w:id="10"/>
      <w:r>
        <w:rPr>
          <w:rFonts w:hint="eastAsia" w:hAnsi="宋体" w:cs="等线"/>
          <w:color w:val="auto"/>
          <w:sz w:val="24"/>
          <w:szCs w:val="24"/>
          <w:highlight w:val="none"/>
        </w:rPr>
        <w:t>张晓</w:t>
      </w:r>
      <w:r>
        <w:rPr>
          <w:rFonts w:hAnsi="宋体" w:cs="等线"/>
          <w:color w:val="auto"/>
          <w:sz w:val="24"/>
          <w:szCs w:val="24"/>
          <w:highlight w:val="none"/>
        </w:rPr>
        <w:t>13962407835</w:t>
      </w:r>
    </w:p>
    <w:p w14:paraId="17D96BFC">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2、采购代理机构信息：</w:t>
      </w:r>
    </w:p>
    <w:p w14:paraId="7576F48B">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名 称：苏州安信造价咨询有限公司</w:t>
      </w:r>
    </w:p>
    <w:p w14:paraId="175E4AE7">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地 址：太仓市兰德东亭大厦1809</w:t>
      </w:r>
    </w:p>
    <w:p w14:paraId="0E29A65B">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联系方式：何峥嵘、谢洁0512-</w:t>
      </w:r>
      <w:r>
        <w:rPr>
          <w:rFonts w:hAnsi="宋体" w:cs="等线"/>
          <w:color w:val="auto"/>
          <w:sz w:val="24"/>
          <w:szCs w:val="24"/>
          <w:highlight w:val="none"/>
        </w:rPr>
        <w:t>53526717</w:t>
      </w:r>
    </w:p>
    <w:p w14:paraId="2CCC3F48">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3、项目联系方式</w:t>
      </w:r>
    </w:p>
    <w:p w14:paraId="60B1E61A">
      <w:pPr>
        <w:widowControl/>
        <w:spacing w:line="360" w:lineRule="auto"/>
        <w:ind w:firstLine="480"/>
        <w:rPr>
          <w:rFonts w:hAnsi="宋体" w:cs="等线"/>
          <w:color w:val="auto"/>
          <w:sz w:val="24"/>
          <w:szCs w:val="24"/>
          <w:highlight w:val="none"/>
        </w:rPr>
      </w:pPr>
      <w:r>
        <w:rPr>
          <w:rFonts w:hint="eastAsia" w:hAnsi="宋体" w:cs="等线"/>
          <w:color w:val="auto"/>
          <w:sz w:val="24"/>
          <w:szCs w:val="24"/>
          <w:highlight w:val="none"/>
        </w:rPr>
        <w:t>项目联系人：何峥嵘、谢洁</w:t>
      </w:r>
    </w:p>
    <w:p w14:paraId="5FFB7BE6">
      <w:pPr>
        <w:widowControl/>
        <w:spacing w:line="360" w:lineRule="auto"/>
        <w:ind w:firstLine="480"/>
        <w:rPr>
          <w:rFonts w:hAnsi="宋体"/>
          <w:color w:val="auto"/>
          <w:sz w:val="24"/>
          <w:szCs w:val="24"/>
          <w:highlight w:val="none"/>
        </w:rPr>
      </w:pPr>
      <w:r>
        <w:rPr>
          <w:rFonts w:hint="eastAsia" w:hAnsi="宋体" w:cs="等线"/>
          <w:color w:val="auto"/>
          <w:sz w:val="24"/>
          <w:szCs w:val="24"/>
          <w:highlight w:val="none"/>
        </w:rPr>
        <w:t>电 话：0512-53526717</w:t>
      </w:r>
    </w:p>
    <w:p w14:paraId="5632775D">
      <w:pPr>
        <w:widowControl/>
        <w:spacing w:line="360" w:lineRule="auto"/>
        <w:rPr>
          <w:rFonts w:hAnsi="宋体" w:cs="等线"/>
          <w:color w:val="auto"/>
          <w:sz w:val="21"/>
          <w:szCs w:val="21"/>
          <w:highlight w:val="none"/>
        </w:rPr>
        <w:sectPr>
          <w:headerReference r:id="rId5" w:type="default"/>
          <w:footerReference r:id="rId6" w:type="default"/>
          <w:pgSz w:w="11906" w:h="16838"/>
          <w:pgMar w:top="1361" w:right="1304" w:bottom="1304" w:left="1361" w:header="851" w:footer="992" w:gutter="0"/>
          <w:cols w:space="720" w:num="1"/>
          <w:docGrid w:linePitch="360" w:charSpace="0"/>
        </w:sectPr>
      </w:pPr>
    </w:p>
    <w:bookmarkEnd w:id="7"/>
    <w:p w14:paraId="696A4AA6">
      <w:pPr>
        <w:spacing w:line="360" w:lineRule="auto"/>
        <w:jc w:val="center"/>
        <w:outlineLvl w:val="0"/>
        <w:rPr>
          <w:rFonts w:hAnsi="宋体"/>
          <w:b/>
          <w:bCs/>
          <w:color w:val="auto"/>
          <w:sz w:val="36"/>
          <w:szCs w:val="36"/>
          <w:highlight w:val="none"/>
        </w:rPr>
      </w:pPr>
      <w:bookmarkStart w:id="11" w:name="_Toc159507036"/>
      <w:r>
        <w:rPr>
          <w:rFonts w:hint="eastAsia" w:hAnsi="宋体"/>
          <w:b/>
          <w:bCs/>
          <w:color w:val="auto"/>
          <w:sz w:val="36"/>
          <w:szCs w:val="36"/>
          <w:highlight w:val="none"/>
        </w:rPr>
        <w:t>第二章投标人须知</w:t>
      </w:r>
      <w:bookmarkEnd w:id="11"/>
    </w:p>
    <w:p w14:paraId="65F5A2B7">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一、说明和释义</w:t>
      </w:r>
    </w:p>
    <w:p w14:paraId="69359CEE">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、说明</w:t>
      </w:r>
    </w:p>
    <w:p w14:paraId="3EC3AC4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 </w:t>
      </w:r>
      <w:r>
        <w:rPr>
          <w:rFonts w:hint="eastAsia" w:hAnsi="宋体"/>
          <w:b w:val="0"/>
          <w:bCs w:val="0"/>
          <w:color w:val="auto"/>
          <w:sz w:val="24"/>
          <w:szCs w:val="24"/>
          <w:highlight w:val="none"/>
        </w:rPr>
        <w:t>本招标文件仅适用于苏州安信造价咨询有限公司组织的招标活动。</w:t>
      </w:r>
    </w:p>
    <w:p w14:paraId="437F964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1.2 </w:t>
      </w:r>
      <w:r>
        <w:rPr>
          <w:rFonts w:hint="eastAsia" w:hAnsi="宋体"/>
          <w:b w:val="0"/>
          <w:bCs w:val="0"/>
          <w:color w:val="auto"/>
          <w:sz w:val="24"/>
          <w:szCs w:val="24"/>
          <w:highlight w:val="none"/>
        </w:rPr>
        <w:t>本次招标活动及因本次招标产生的合同受中国法律制约和保护。</w:t>
      </w:r>
    </w:p>
    <w:p w14:paraId="26B97E8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.3 </w:t>
      </w:r>
      <w:r>
        <w:rPr>
          <w:rFonts w:hint="eastAsia" w:hAnsi="宋体"/>
          <w:b w:val="0"/>
          <w:bCs w:val="0"/>
          <w:color w:val="auto"/>
          <w:sz w:val="24"/>
          <w:szCs w:val="24"/>
          <w:highlight w:val="none"/>
        </w:rPr>
        <w:t>本招标文件的解释权属于苏州安信造价咨询有限公司。</w:t>
      </w:r>
    </w:p>
    <w:p w14:paraId="1BB60EEA">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、词语释义</w:t>
      </w:r>
    </w:p>
    <w:p w14:paraId="234A1F96">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采购人：指依法进行政府采购的国家机关、事业单位、团体组织。</w:t>
      </w:r>
    </w:p>
    <w:p w14:paraId="0E3E15CC">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供应商：指向采购人提供货物、工程或服务的法人、其他组织或者自然人。</w:t>
      </w:r>
    </w:p>
    <w:p w14:paraId="2CEAEA83">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.3 </w:t>
      </w:r>
      <w:r>
        <w:rPr>
          <w:rFonts w:hint="eastAsia" w:hAnsi="宋体"/>
          <w:b w:val="0"/>
          <w:bCs w:val="0"/>
          <w:color w:val="auto"/>
          <w:spacing w:val="-3"/>
          <w:sz w:val="24"/>
          <w:szCs w:val="24"/>
          <w:highlight w:val="none"/>
        </w:rPr>
        <w:t>投标人：指参加政府采购货物服务投标活动的供应商。</w:t>
      </w:r>
    </w:p>
    <w:p w14:paraId="1F3433AA">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.4 </w:t>
      </w:r>
      <w:r>
        <w:rPr>
          <w:rFonts w:hint="eastAsia" w:hAnsi="宋体"/>
          <w:b w:val="0"/>
          <w:bCs w:val="0"/>
          <w:color w:val="auto"/>
          <w:spacing w:val="-3"/>
          <w:sz w:val="24"/>
          <w:szCs w:val="24"/>
          <w:highlight w:val="none"/>
        </w:rPr>
        <w:t>采购代理机构：指依法接受采购人委托，从事货物、工程和服务等政府采购招标代理业务的社会中介机构。</w:t>
      </w:r>
    </w:p>
    <w:p w14:paraId="4D5E3879">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.5 </w:t>
      </w:r>
      <w:r>
        <w:rPr>
          <w:rFonts w:hint="eastAsia" w:hAnsi="宋体"/>
          <w:b w:val="0"/>
          <w:bCs w:val="0"/>
          <w:color w:val="auto"/>
          <w:spacing w:val="-3"/>
          <w:sz w:val="24"/>
          <w:szCs w:val="24"/>
          <w:highlight w:val="none"/>
        </w:rPr>
        <w:t>招标采购单位：采购人及采购代理机构的统称。</w:t>
      </w:r>
    </w:p>
    <w:p w14:paraId="126394B8">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.6 </w:t>
      </w:r>
      <w:r>
        <w:rPr>
          <w:rFonts w:hint="eastAsia" w:hAnsi="宋体"/>
          <w:b w:val="0"/>
          <w:bCs w:val="0"/>
          <w:color w:val="auto"/>
          <w:spacing w:val="-3"/>
          <w:sz w:val="24"/>
          <w:szCs w:val="24"/>
          <w:highlight w:val="none"/>
        </w:rPr>
        <w:t>评标委员会：是指在招标投标和政府采购活动中，依法由采购人代表和有关技术、经济等方面的专家组建，负责对投标文件进行评审并提出评审意见的临时性权威机构。</w:t>
      </w:r>
    </w:p>
    <w:p w14:paraId="40F946E4">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.7 </w:t>
      </w:r>
      <w:r>
        <w:rPr>
          <w:rFonts w:hint="eastAsia" w:hAnsi="宋体"/>
          <w:b w:val="0"/>
          <w:bCs w:val="0"/>
          <w:color w:val="auto"/>
          <w:spacing w:val="-3"/>
          <w:sz w:val="24"/>
          <w:szCs w:val="24"/>
          <w:highlight w:val="none"/>
        </w:rPr>
        <w:t>响应：投标人根据采购人或采购代理机构发售的招标文件，编制投标文件并按规定投标的行为。</w:t>
      </w:r>
    </w:p>
    <w:p w14:paraId="1B34ABC7">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.8 </w:t>
      </w:r>
      <w:r>
        <w:rPr>
          <w:rFonts w:hint="eastAsia" w:hAnsi="宋体"/>
          <w:b w:val="0"/>
          <w:bCs w:val="0"/>
          <w:color w:val="auto"/>
          <w:spacing w:val="-3"/>
          <w:sz w:val="24"/>
          <w:szCs w:val="24"/>
          <w:highlight w:val="none"/>
        </w:rPr>
        <w:t>知识产权：指专利权、商标权、著作权等无形财产专有权的统称。</w:t>
      </w:r>
    </w:p>
    <w:p w14:paraId="3F0EA3AE">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.9 </w:t>
      </w:r>
      <w:r>
        <w:rPr>
          <w:rFonts w:hint="eastAsia" w:hAnsi="宋体"/>
          <w:b w:val="0"/>
          <w:bCs w:val="0"/>
          <w:color w:val="auto"/>
          <w:spacing w:val="-3"/>
          <w:sz w:val="24"/>
          <w:szCs w:val="24"/>
          <w:highlight w:val="none"/>
        </w:rPr>
        <w:t>天：日历日。</w:t>
      </w:r>
    </w:p>
    <w:p w14:paraId="1725802F">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.10 </w:t>
      </w:r>
      <w:r>
        <w:rPr>
          <w:rFonts w:hint="eastAsia" w:hAnsi="宋体"/>
          <w:b w:val="0"/>
          <w:bCs w:val="0"/>
          <w:color w:val="auto"/>
          <w:spacing w:val="-3"/>
          <w:sz w:val="24"/>
          <w:szCs w:val="24"/>
          <w:highlight w:val="none"/>
        </w:rPr>
        <w:t>合同：采供双方根据招标文件和中标的投标文件及中标通知书规定的内容签署的以书面形式所达成的协议，包括所有的附件、附录和构成协议的所有文件。</w:t>
      </w:r>
    </w:p>
    <w:p w14:paraId="37E13236">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.11 </w:t>
      </w:r>
      <w:r>
        <w:rPr>
          <w:rFonts w:hint="eastAsia" w:hAnsi="宋体"/>
          <w:b w:val="0"/>
          <w:bCs w:val="0"/>
          <w:color w:val="auto"/>
          <w:spacing w:val="-3"/>
          <w:sz w:val="24"/>
          <w:szCs w:val="24"/>
          <w:highlight w:val="none"/>
        </w:rPr>
        <w:t>合同价款：根据合同规定，乙方在正确地履行合同义务后甲方应支付乙方的价款。</w:t>
      </w:r>
    </w:p>
    <w:p w14:paraId="44DEF39C">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.12 </w:t>
      </w:r>
      <w:r>
        <w:rPr>
          <w:rFonts w:hint="eastAsia" w:hAnsi="宋体"/>
          <w:b w:val="0"/>
          <w:bCs w:val="0"/>
          <w:color w:val="auto"/>
          <w:spacing w:val="-3"/>
          <w:sz w:val="24"/>
          <w:szCs w:val="24"/>
          <w:highlight w:val="none"/>
        </w:rPr>
        <w:t>货物：系指乙方按招标采购文件规定，应向甲方提供的一切设备、备品、备件、工具、手册及其它有关技术资料和材料。</w:t>
      </w:r>
    </w:p>
    <w:p w14:paraId="0E4C9225">
      <w:pPr>
        <w:pStyle w:val="7"/>
        <w:spacing w:line="360" w:lineRule="auto"/>
        <w:ind w:left="0" w:firstLine="420"/>
        <w:jc w:val="both"/>
        <w:rPr>
          <w:rFonts w:hAnsi="宋体"/>
          <w:b w:val="0"/>
          <w:bCs w:val="0"/>
          <w:color w:val="auto"/>
          <w:spacing w:val="-3"/>
          <w:sz w:val="24"/>
          <w:szCs w:val="24"/>
          <w:highlight w:val="none"/>
        </w:rPr>
      </w:pPr>
      <w:r>
        <w:rPr>
          <w:rFonts w:hAnsi="宋体"/>
          <w:b w:val="0"/>
          <w:bCs w:val="0"/>
          <w:color w:val="auto"/>
          <w:spacing w:val="-3"/>
          <w:sz w:val="24"/>
          <w:szCs w:val="24"/>
          <w:highlight w:val="none"/>
        </w:rPr>
        <w:t xml:space="preserve">2.13 </w:t>
      </w:r>
      <w:r>
        <w:rPr>
          <w:rFonts w:hint="eastAsia" w:hAnsi="宋体"/>
          <w:b w:val="0"/>
          <w:bCs w:val="0"/>
          <w:color w:val="auto"/>
          <w:spacing w:val="-3"/>
          <w:sz w:val="24"/>
          <w:szCs w:val="24"/>
          <w:highlight w:val="none"/>
        </w:rPr>
        <w:t>服务：系指本次招标采购文件规定乙方应承担的与提供货物和服务有关的辅助服务，比如运输、保险、安装、调试、验收、提供技术援助、培训、配合措施、维修响应及合同中规定乙方应承担的其它义务。</w:t>
      </w:r>
    </w:p>
    <w:p w14:paraId="3399B211">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.14 </w:t>
      </w:r>
      <w:r>
        <w:rPr>
          <w:rFonts w:hint="eastAsia" w:hAnsi="宋体"/>
          <w:b w:val="0"/>
          <w:bCs w:val="0"/>
          <w:color w:val="auto"/>
          <w:spacing w:val="-3"/>
          <w:sz w:val="24"/>
          <w:szCs w:val="24"/>
          <w:highlight w:val="none"/>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5E588072">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.15 </w:t>
      </w:r>
      <w:r>
        <w:rPr>
          <w:rFonts w:hint="eastAsia" w:hAnsi="宋体"/>
          <w:b w:val="0"/>
          <w:bCs w:val="0"/>
          <w:color w:val="auto"/>
          <w:spacing w:val="-3"/>
          <w:sz w:val="24"/>
          <w:szCs w:val="24"/>
          <w:highlight w:val="none"/>
        </w:rPr>
        <w:t>交货地点：合同中明确约定的乙方提交的货物最终地点。</w:t>
      </w:r>
    </w:p>
    <w:p w14:paraId="5C075B6A">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.16 </w:t>
      </w:r>
      <w:r>
        <w:rPr>
          <w:rFonts w:hint="eastAsia" w:hAnsi="宋体"/>
          <w:b w:val="0"/>
          <w:bCs w:val="0"/>
          <w:color w:val="auto"/>
          <w:spacing w:val="-3"/>
          <w:sz w:val="24"/>
          <w:szCs w:val="24"/>
          <w:highlight w:val="none"/>
        </w:rPr>
        <w:t>不可抗力：不能预见、不能避免并且不能克服的客观情况。</w:t>
      </w:r>
    </w:p>
    <w:p w14:paraId="185BBFDE">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.18 </w:t>
      </w:r>
      <w:r>
        <w:rPr>
          <w:rFonts w:hint="eastAsia" w:hAnsi="宋体"/>
          <w:b w:val="0"/>
          <w:bCs w:val="0"/>
          <w:color w:val="auto"/>
          <w:spacing w:val="-3"/>
          <w:sz w:val="24"/>
          <w:szCs w:val="24"/>
          <w:highlight w:val="none"/>
        </w:rPr>
        <w:t>实质性响应：满足有关本次采购标的、数量、质量、价款或者报酬、履行期限、履行地点和方式、违约责任和解决争议方法等要求。</w:t>
      </w:r>
    </w:p>
    <w:p w14:paraId="29E643DC">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.19 </w:t>
      </w:r>
      <w:r>
        <w:rPr>
          <w:rFonts w:hint="eastAsia" w:hAnsi="宋体"/>
          <w:b w:val="0"/>
          <w:bCs w:val="0"/>
          <w:color w:val="auto"/>
          <w:spacing w:val="-3"/>
          <w:sz w:val="24"/>
          <w:szCs w:val="24"/>
          <w:highlight w:val="none"/>
        </w:rPr>
        <w:t>进口产品：通过中国海关报关验放进入中国境内且产自关境外的产品。</w:t>
      </w:r>
    </w:p>
    <w:p w14:paraId="3C0CF670">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2</w:t>
      </w:r>
      <w:r>
        <w:rPr>
          <w:rFonts w:hAnsi="宋体"/>
          <w:b w:val="0"/>
          <w:bCs w:val="0"/>
          <w:color w:val="auto"/>
          <w:spacing w:val="-3"/>
          <w:sz w:val="24"/>
          <w:szCs w:val="24"/>
          <w:highlight w:val="none"/>
        </w:rPr>
        <w:t xml:space="preserve">.20 </w:t>
      </w:r>
      <w:r>
        <w:rPr>
          <w:rFonts w:hint="eastAsia" w:hAnsi="宋体"/>
          <w:b w:val="0"/>
          <w:bCs w:val="0"/>
          <w:color w:val="auto"/>
          <w:spacing w:val="-3"/>
          <w:sz w:val="24"/>
          <w:szCs w:val="24"/>
          <w:highlight w:val="none"/>
        </w:rPr>
        <w:t>书面形式：指书面文字、合同书、信件和传真等可有形地表现所载内容的形式。</w:t>
      </w:r>
    </w:p>
    <w:p w14:paraId="57BCA99C">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二、投标人</w:t>
      </w:r>
    </w:p>
    <w:p w14:paraId="19F5D6EE">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3、合格投标人的范围</w:t>
      </w:r>
    </w:p>
    <w:p w14:paraId="696801F8">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符合《中华人民共和国政府采购法》第二十二条第一款之规定。</w:t>
      </w:r>
    </w:p>
    <w:p w14:paraId="37AF7C63">
      <w:pPr>
        <w:pStyle w:val="7"/>
        <w:spacing w:line="360" w:lineRule="auto"/>
        <w:ind w:left="0" w:firstLine="420"/>
        <w:jc w:val="both"/>
        <w:rPr>
          <w:rFonts w:hAnsi="宋体"/>
          <w:b w:val="0"/>
          <w:bCs w:val="0"/>
          <w:color w:val="auto"/>
          <w:spacing w:val="-3"/>
          <w:sz w:val="24"/>
          <w:szCs w:val="24"/>
          <w:highlight w:val="none"/>
        </w:rPr>
      </w:pPr>
      <w:r>
        <w:rPr>
          <w:rFonts w:hint="eastAsia" w:hAnsi="宋体"/>
          <w:b w:val="0"/>
          <w:bCs w:val="0"/>
          <w:color w:val="auto"/>
          <w:spacing w:val="-3"/>
          <w:sz w:val="24"/>
          <w:szCs w:val="24"/>
          <w:highlight w:val="none"/>
        </w:rPr>
        <w:t>3</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满足本文件实质性条款的规定。</w:t>
      </w:r>
    </w:p>
    <w:p w14:paraId="3309EBA0">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、合格投标人的特定条件</w:t>
      </w:r>
    </w:p>
    <w:p w14:paraId="474ED10D">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4.1 </w:t>
      </w:r>
      <w:r>
        <w:rPr>
          <w:rFonts w:hint="eastAsia" w:hAnsi="宋体"/>
          <w:b w:val="0"/>
          <w:bCs w:val="0"/>
          <w:color w:val="auto"/>
          <w:spacing w:val="-3"/>
          <w:sz w:val="24"/>
          <w:szCs w:val="24"/>
          <w:highlight w:val="none"/>
        </w:rPr>
        <w:t>详见招标公告规定。</w:t>
      </w:r>
    </w:p>
    <w:p w14:paraId="38471129">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、投标委托</w:t>
      </w:r>
    </w:p>
    <w:p w14:paraId="56AD46AF">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5.1 </w:t>
      </w:r>
      <w:r>
        <w:rPr>
          <w:rFonts w:hint="eastAsia" w:hAnsi="宋体"/>
          <w:b w:val="0"/>
          <w:bCs w:val="0"/>
          <w:color w:val="auto"/>
          <w:sz w:val="24"/>
          <w:szCs w:val="24"/>
          <w:highlight w:val="none"/>
        </w:rPr>
        <w:t>指全权代表投标人参加投标活动并签署投标文件的人，如果投标人代表不是法定代表人代表，须持有《法定代表人代表授权委托书》（详见统一格式）。</w:t>
      </w:r>
    </w:p>
    <w:p w14:paraId="68D2170B">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、投标费用</w:t>
      </w:r>
    </w:p>
    <w:p w14:paraId="0E3E8C09">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6.1 </w:t>
      </w:r>
      <w:r>
        <w:rPr>
          <w:rFonts w:hint="eastAsia" w:hAnsi="宋体"/>
          <w:b w:val="0"/>
          <w:bCs w:val="0"/>
          <w:color w:val="auto"/>
          <w:sz w:val="24"/>
          <w:szCs w:val="24"/>
          <w:highlight w:val="none"/>
        </w:rPr>
        <w:t>无论投标过程的做法和结果如何</w:t>
      </w:r>
      <w:r>
        <w:rPr>
          <w:rFonts w:hAnsi="宋体"/>
          <w:b w:val="0"/>
          <w:bCs w:val="0"/>
          <w:color w:val="auto"/>
          <w:sz w:val="24"/>
          <w:szCs w:val="24"/>
          <w:highlight w:val="none"/>
        </w:rPr>
        <w:t>,</w:t>
      </w:r>
      <w:r>
        <w:rPr>
          <w:rFonts w:hint="eastAsia" w:hAnsi="宋体"/>
          <w:b w:val="0"/>
          <w:bCs w:val="0"/>
          <w:color w:val="auto"/>
          <w:sz w:val="24"/>
          <w:szCs w:val="24"/>
          <w:highlight w:val="none"/>
        </w:rPr>
        <w:t>投标人自行承担所有与参加投标有关的全部费用。</w:t>
      </w:r>
    </w:p>
    <w:p w14:paraId="73186482">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7</w:t>
      </w:r>
      <w:r>
        <w:rPr>
          <w:rFonts w:hint="eastAsia" w:hAnsi="宋体"/>
          <w:color w:val="auto"/>
          <w:sz w:val="24"/>
          <w:szCs w:val="24"/>
          <w:highlight w:val="none"/>
        </w:rPr>
        <w:t>、联合投标</w:t>
      </w:r>
    </w:p>
    <w:p w14:paraId="788B1FCC">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7.1 </w:t>
      </w:r>
      <w:r>
        <w:rPr>
          <w:rFonts w:hint="eastAsia" w:hAnsi="宋体"/>
          <w:b w:val="0"/>
          <w:bCs w:val="0"/>
          <w:color w:val="auto"/>
          <w:sz w:val="24"/>
          <w:szCs w:val="24"/>
          <w:highlight w:val="none"/>
        </w:rPr>
        <w:t>本项目不接受联合投标。</w:t>
      </w:r>
    </w:p>
    <w:p w14:paraId="3217DD88">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三、招标文件的说明</w:t>
      </w:r>
    </w:p>
    <w:p w14:paraId="2F7C8015">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8、招标文件</w:t>
      </w:r>
    </w:p>
    <w:p w14:paraId="0DA1BED0">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8.1 </w:t>
      </w:r>
      <w:r>
        <w:rPr>
          <w:rFonts w:hint="eastAsia" w:hAnsi="宋体"/>
          <w:b w:val="0"/>
          <w:bCs w:val="0"/>
          <w:color w:val="auto"/>
          <w:sz w:val="24"/>
          <w:szCs w:val="24"/>
          <w:highlight w:val="none"/>
        </w:rPr>
        <w:t>招标文件由招标文件目录所列内容组成，投标人获取招标文件后，应仔细检查招标文件的所有内容，如有残缺等问题应在获取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C3DDE8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8</w:t>
      </w:r>
      <w:r>
        <w:rPr>
          <w:rFonts w:hAnsi="宋体"/>
          <w:b w:val="0"/>
          <w:bCs w:val="0"/>
          <w:color w:val="auto"/>
          <w:sz w:val="24"/>
          <w:szCs w:val="24"/>
          <w:highlight w:val="none"/>
        </w:rPr>
        <w:t xml:space="preserve">.2 </w:t>
      </w:r>
      <w:r>
        <w:rPr>
          <w:rFonts w:hint="eastAsia" w:hAnsi="宋体"/>
          <w:b w:val="0"/>
          <w:bCs w:val="0"/>
          <w:color w:val="auto"/>
          <w:sz w:val="24"/>
          <w:szCs w:val="24"/>
          <w:highlight w:val="none"/>
        </w:rPr>
        <w:t>招标文件及其更正文件不是直接从采购代理机构或指定媒体获得的，采购代理机构对招标文件及其补遗的真实性、完整性不承担任何责任。</w:t>
      </w:r>
    </w:p>
    <w:p w14:paraId="0352747D">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9</w:t>
      </w:r>
      <w:r>
        <w:rPr>
          <w:rFonts w:hint="eastAsia" w:hAnsi="宋体"/>
          <w:color w:val="auto"/>
          <w:sz w:val="24"/>
          <w:szCs w:val="24"/>
          <w:highlight w:val="none"/>
        </w:rPr>
        <w:t>、现场踏勘</w:t>
      </w:r>
    </w:p>
    <w:p w14:paraId="0D1CBB8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9.1 </w:t>
      </w:r>
      <w:r>
        <w:rPr>
          <w:rFonts w:hint="eastAsia" w:hAnsi="宋体"/>
          <w:b w:val="0"/>
          <w:bCs w:val="0"/>
          <w:color w:val="auto"/>
          <w:sz w:val="24"/>
          <w:szCs w:val="24"/>
          <w:highlight w:val="none"/>
        </w:rPr>
        <w:t>采购人不组织现场踏勘，投标人可以对有关现场踏勘和周围环境进行考察，以获取编制投标文件和签署合同所需的信息，考察现场所发生的费用由投标人自己承担。</w:t>
      </w:r>
    </w:p>
    <w:p w14:paraId="46015DB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9</w:t>
      </w:r>
      <w:r>
        <w:rPr>
          <w:rFonts w:hAnsi="宋体"/>
          <w:b w:val="0"/>
          <w:bCs w:val="0"/>
          <w:color w:val="auto"/>
          <w:sz w:val="24"/>
          <w:szCs w:val="24"/>
          <w:highlight w:val="none"/>
        </w:rPr>
        <w:t xml:space="preserve">.2 </w:t>
      </w:r>
      <w:r>
        <w:rPr>
          <w:rFonts w:hint="eastAsia" w:hAnsi="宋体"/>
          <w:b w:val="0"/>
          <w:bCs w:val="0"/>
          <w:color w:val="auto"/>
          <w:sz w:val="24"/>
          <w:szCs w:val="24"/>
          <w:highlight w:val="none"/>
        </w:rPr>
        <w:t>招标采购单位向投标人提供的有关现场的资料和数据，是招标采购单位现有的并认为能使投标人可利用的资料。招标采购单位对投标人由此而做出的推论、理解和结论概不负责，风险均由投标人自行承担。</w:t>
      </w:r>
    </w:p>
    <w:p w14:paraId="650E16BA">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 xml:space="preserve">10. </w:t>
      </w:r>
      <w:r>
        <w:rPr>
          <w:rFonts w:hint="eastAsia" w:hAnsi="宋体"/>
          <w:color w:val="auto"/>
          <w:sz w:val="24"/>
          <w:szCs w:val="24"/>
          <w:highlight w:val="none"/>
        </w:rPr>
        <w:t>招标文件的澄清</w:t>
      </w:r>
    </w:p>
    <w:p w14:paraId="7EADD33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0.1 </w:t>
      </w:r>
      <w:r>
        <w:rPr>
          <w:rFonts w:hint="eastAsia" w:hAnsi="宋体"/>
          <w:b w:val="0"/>
          <w:bCs w:val="0"/>
          <w:color w:val="auto"/>
          <w:sz w:val="24"/>
          <w:szCs w:val="24"/>
          <w:highlight w:val="none"/>
        </w:rPr>
        <w:t>投标人在获取招标文件后，若有疑问，应于投标截止时间之前，向采购代理机构提出，采购代理机构将予以解答。</w:t>
      </w:r>
    </w:p>
    <w:p w14:paraId="3C82A2C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0.2 </w:t>
      </w:r>
      <w:r>
        <w:rPr>
          <w:rFonts w:hint="eastAsia" w:hAnsi="宋体"/>
          <w:b w:val="0"/>
          <w:bCs w:val="0"/>
          <w:color w:val="auto"/>
          <w:sz w:val="24"/>
          <w:szCs w:val="24"/>
          <w:highlight w:val="none"/>
        </w:rPr>
        <w:t>如有必要，问题答复将以“变更公告”形式由采购代理机构按照本须知第</w:t>
      </w:r>
      <w:r>
        <w:rPr>
          <w:rFonts w:hAnsi="宋体"/>
          <w:b w:val="0"/>
          <w:bCs w:val="0"/>
          <w:color w:val="auto"/>
          <w:sz w:val="24"/>
          <w:szCs w:val="24"/>
          <w:highlight w:val="none"/>
        </w:rPr>
        <w:t xml:space="preserve"> 10 </w:t>
      </w:r>
      <w:r>
        <w:rPr>
          <w:rFonts w:hint="eastAsia" w:hAnsi="宋体"/>
          <w:b w:val="0"/>
          <w:bCs w:val="0"/>
          <w:color w:val="auto"/>
          <w:sz w:val="24"/>
          <w:szCs w:val="24"/>
          <w:highlight w:val="none"/>
        </w:rPr>
        <w:t>条的规定发出。</w:t>
      </w:r>
    </w:p>
    <w:p w14:paraId="21D8ECCF">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11.</w:t>
      </w:r>
      <w:r>
        <w:rPr>
          <w:rFonts w:hint="eastAsia" w:hAnsi="宋体"/>
          <w:color w:val="auto"/>
          <w:sz w:val="24"/>
          <w:szCs w:val="24"/>
          <w:highlight w:val="none"/>
        </w:rPr>
        <w:t>招标文件的修改</w:t>
      </w:r>
    </w:p>
    <w:p w14:paraId="5DC68D4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1.1 </w:t>
      </w:r>
      <w:r>
        <w:rPr>
          <w:rFonts w:hint="eastAsia" w:hAnsi="宋体"/>
          <w:b w:val="0"/>
          <w:bCs w:val="0"/>
          <w:color w:val="auto"/>
          <w:sz w:val="24"/>
          <w:szCs w:val="24"/>
          <w:highlight w:val="none"/>
        </w:rPr>
        <w:t>投标人在获取招标文件后，若有问题需要询问和澄清，应在投标截止时间1</w:t>
      </w:r>
      <w:r>
        <w:rPr>
          <w:rFonts w:hAnsi="宋体"/>
          <w:b w:val="0"/>
          <w:bCs w:val="0"/>
          <w:color w:val="auto"/>
          <w:sz w:val="24"/>
          <w:szCs w:val="24"/>
          <w:highlight w:val="none"/>
        </w:rPr>
        <w:t>0</w:t>
      </w:r>
      <w:r>
        <w:rPr>
          <w:rFonts w:hint="eastAsia" w:hAnsi="宋体"/>
          <w:b w:val="0"/>
          <w:bCs w:val="0"/>
          <w:color w:val="auto"/>
          <w:sz w:val="24"/>
          <w:szCs w:val="24"/>
          <w:highlight w:val="none"/>
        </w:rPr>
        <w:t>日前提出，澄清和提疑须以书面形式向采购代理机构提出，采购代理机构将以书面形式或投标答疑会的方式予以解答（包括对询问的解释，但不说明来源），答复将送给所有招标文件的收受人。</w:t>
      </w:r>
    </w:p>
    <w:p w14:paraId="0246A3E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1.2 </w:t>
      </w:r>
      <w:r>
        <w:rPr>
          <w:rFonts w:hint="eastAsia" w:hAnsi="宋体"/>
          <w:b w:val="0"/>
          <w:bCs w:val="0"/>
          <w:color w:val="auto"/>
          <w:sz w:val="24"/>
          <w:szCs w:val="24"/>
          <w:highlight w:val="none"/>
        </w:rPr>
        <w:t>迟于规定的询问和提交的疑问，采购人和采购代理机构有权拒绝回答，也不承担由此带来的对投标人投标结果的影响。</w:t>
      </w:r>
    </w:p>
    <w:p w14:paraId="0FD8197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1.3 </w:t>
      </w:r>
      <w:r>
        <w:rPr>
          <w:rFonts w:hint="eastAsia" w:hAnsi="宋体"/>
          <w:b w:val="0"/>
          <w:bCs w:val="0"/>
          <w:color w:val="auto"/>
          <w:sz w:val="24"/>
          <w:szCs w:val="24"/>
          <w:highlight w:val="none"/>
        </w:rPr>
        <w:t>在投标截止时间</w:t>
      </w:r>
      <w:r>
        <w:rPr>
          <w:rFonts w:hAnsi="宋体"/>
          <w:b w:val="0"/>
          <w:bCs w:val="0"/>
          <w:color w:val="auto"/>
          <w:sz w:val="24"/>
          <w:szCs w:val="24"/>
          <w:highlight w:val="none"/>
        </w:rPr>
        <w:t>15</w:t>
      </w:r>
      <w:r>
        <w:rPr>
          <w:rFonts w:hint="eastAsia" w:hAnsi="宋体"/>
          <w:b w:val="0"/>
          <w:bCs w:val="0"/>
          <w:color w:val="auto"/>
          <w:sz w:val="24"/>
          <w:szCs w:val="24"/>
          <w:highlight w:val="none"/>
        </w:rPr>
        <w:t>日前，招标采购单位无论出于自己的考虑，还是出于对投标人提问的澄清，均可对已发出的招标文件进行必要澄清或者修改。</w:t>
      </w:r>
    </w:p>
    <w:p w14:paraId="367C44B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1.4 </w:t>
      </w:r>
      <w:r>
        <w:rPr>
          <w:rFonts w:hint="eastAsia" w:hAnsi="宋体"/>
          <w:b w:val="0"/>
          <w:bCs w:val="0"/>
          <w:color w:val="auto"/>
          <w:sz w:val="24"/>
          <w:szCs w:val="24"/>
          <w:highlight w:val="none"/>
        </w:rPr>
        <w:t>为使投标人有足够的时间按招标文件的修改要求考虑修正投标文件，或出于其他原因，招标采购单位有权推迟投标截止日期和开标日期，将此变更通知所有招标文件的收受人。</w:t>
      </w:r>
    </w:p>
    <w:p w14:paraId="3352B1C6">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11.5 </w:t>
      </w:r>
      <w:r>
        <w:rPr>
          <w:rFonts w:hint="eastAsia" w:hAnsi="宋体"/>
          <w:b w:val="0"/>
          <w:bCs w:val="0"/>
          <w:color w:val="auto"/>
          <w:sz w:val="24"/>
          <w:szCs w:val="24"/>
          <w:highlight w:val="none"/>
        </w:rPr>
        <w:t>招标文件的更正（含澄清、修改等）内容与原招标文件在同一内容上表述不一致时，以发出日期最接近开标时间的公告为准。</w:t>
      </w:r>
    </w:p>
    <w:p w14:paraId="3E1EFB8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1.6 </w:t>
      </w:r>
      <w:r>
        <w:rPr>
          <w:rFonts w:hint="eastAsia" w:hAnsi="宋体"/>
          <w:b w:val="0"/>
          <w:bCs w:val="0"/>
          <w:color w:val="auto"/>
          <w:sz w:val="24"/>
          <w:szCs w:val="24"/>
          <w:highlight w:val="none"/>
        </w:rPr>
        <w:t>招标文件的更正（含澄清、修改等）内容将在财政部门指定的政府采购信息发布媒体上发布，作为招标文件的组成部分，对投标人起约束作用。</w:t>
      </w:r>
    </w:p>
    <w:p w14:paraId="79069830">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11.7 </w:t>
      </w:r>
      <w:r>
        <w:rPr>
          <w:rFonts w:hint="eastAsia" w:hAnsi="宋体"/>
          <w:color w:val="auto"/>
          <w:sz w:val="24"/>
          <w:szCs w:val="24"/>
          <w:highlight w:val="none"/>
        </w:rPr>
        <w:t>招标文件若有最新的答疑文件，投标供应商必须下载并使用该文件制作新的电子投标文件，否则将无法完成电子投标文件的上传及投标。</w:t>
      </w:r>
    </w:p>
    <w:p w14:paraId="3EE6F388">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四、投标文件说明</w:t>
      </w:r>
    </w:p>
    <w:p w14:paraId="4DD36446">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、提示与要求</w:t>
      </w:r>
    </w:p>
    <w:p w14:paraId="13E6317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2.1 </w:t>
      </w:r>
      <w:r>
        <w:rPr>
          <w:rFonts w:hint="eastAsia" w:hAnsi="宋体"/>
          <w:b w:val="0"/>
          <w:bCs w:val="0"/>
          <w:color w:val="auto"/>
          <w:sz w:val="24"/>
          <w:szCs w:val="24"/>
          <w:highlight w:val="none"/>
        </w:rPr>
        <w:t>投标人应仔细阅读招标文件的所有内容，按招标文件的要求提供投标文件，并保证所提供的全部资料的真实性，以使其投标对招标文件做出实质性响应，否则，其投标可能被拒绝。</w:t>
      </w:r>
    </w:p>
    <w:p w14:paraId="220BCCD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2.2 </w:t>
      </w:r>
      <w:r>
        <w:rPr>
          <w:rFonts w:hint="eastAsia" w:hAnsi="宋体"/>
          <w:b w:val="0"/>
          <w:bCs w:val="0"/>
          <w:color w:val="auto"/>
          <w:sz w:val="24"/>
          <w:szCs w:val="24"/>
          <w:highlight w:val="none"/>
        </w:rPr>
        <w:t>无论是否递交投标文件，投标人都应将招标文件及以后的所有通知、文件等视为保密文件。</w:t>
      </w:r>
    </w:p>
    <w:p w14:paraId="035EA223">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13</w:t>
      </w:r>
      <w:r>
        <w:rPr>
          <w:rFonts w:hint="eastAsia" w:hAnsi="宋体"/>
          <w:color w:val="auto"/>
          <w:sz w:val="24"/>
          <w:szCs w:val="24"/>
          <w:highlight w:val="none"/>
        </w:rPr>
        <w:t>、投标文件计量单位和使用文字</w:t>
      </w:r>
    </w:p>
    <w:p w14:paraId="7AD48FA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3.1 </w:t>
      </w:r>
      <w:r>
        <w:rPr>
          <w:rFonts w:hint="eastAsia" w:hAnsi="宋体"/>
          <w:b w:val="0"/>
          <w:bCs w:val="0"/>
          <w:color w:val="auto"/>
          <w:sz w:val="24"/>
          <w:szCs w:val="24"/>
          <w:highlight w:val="none"/>
        </w:rPr>
        <w:t>投标文件中所使用的计量单位，除招标文件中有特殊要求外，均应使用中华人民共和国法定计量单位。</w:t>
      </w:r>
    </w:p>
    <w:p w14:paraId="1EADA3D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13.2 </w:t>
      </w:r>
      <w:r>
        <w:rPr>
          <w:rFonts w:hint="eastAsia" w:hAnsi="宋体"/>
          <w:b w:val="0"/>
          <w:bCs w:val="0"/>
          <w:color w:val="auto"/>
          <w:sz w:val="24"/>
          <w:szCs w:val="24"/>
          <w:highlight w:val="none"/>
        </w:rPr>
        <w:t>投标文件应使用中文编制，投标文件中必须使用其他文字的，必须附有中文译本，且以中文译本为准。对于未附有中文译本和中文译本不准确的投标文件可能引起的对投标人不利的后果，招标采购单位概不负责。</w:t>
      </w:r>
    </w:p>
    <w:p w14:paraId="05E669FF">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14</w:t>
      </w:r>
      <w:r>
        <w:rPr>
          <w:rFonts w:hint="eastAsia" w:hAnsi="宋体"/>
          <w:color w:val="auto"/>
          <w:sz w:val="24"/>
          <w:szCs w:val="24"/>
          <w:highlight w:val="none"/>
        </w:rPr>
        <w:t>、知识产权</w:t>
      </w:r>
    </w:p>
    <w:p w14:paraId="6069D49D">
      <w:pPr>
        <w:pStyle w:val="16"/>
        <w:spacing w:before="0" w:line="360" w:lineRule="auto"/>
        <w:ind w:left="0" w:firstLine="426"/>
        <w:jc w:val="both"/>
        <w:rPr>
          <w:rFonts w:hAnsi="宋体"/>
          <w:b/>
          <w:bCs/>
          <w:color w:val="auto"/>
          <w:sz w:val="24"/>
          <w:szCs w:val="24"/>
          <w:highlight w:val="none"/>
        </w:rPr>
      </w:pPr>
      <w:r>
        <w:rPr>
          <w:rFonts w:hAnsi="宋体"/>
          <w:color w:val="auto"/>
          <w:sz w:val="24"/>
          <w:szCs w:val="24"/>
          <w:highlight w:val="none"/>
        </w:rPr>
        <w:t>14.1</w:t>
      </w:r>
      <w:r>
        <w:rPr>
          <w:rFonts w:hint="eastAsia" w:hAnsi="宋体"/>
          <w:color w:val="auto"/>
          <w:spacing w:val="-6"/>
          <w:sz w:val="24"/>
          <w:szCs w:val="24"/>
          <w:highlight w:val="none"/>
        </w:rPr>
        <w:t>投标人应保证在本项目使用的任何产品</w:t>
      </w:r>
      <w:r>
        <w:rPr>
          <w:rFonts w:hint="eastAsia" w:hAnsi="宋体"/>
          <w:color w:val="auto"/>
          <w:spacing w:val="-3"/>
          <w:sz w:val="24"/>
          <w:szCs w:val="24"/>
          <w:highlight w:val="none"/>
        </w:rPr>
        <w:t>（包括部分使用</w:t>
      </w:r>
      <w:r>
        <w:rPr>
          <w:rFonts w:hint="eastAsia" w:hAnsi="宋体"/>
          <w:color w:val="auto"/>
          <w:spacing w:val="-12"/>
          <w:sz w:val="24"/>
          <w:szCs w:val="24"/>
          <w:highlight w:val="none"/>
        </w:rPr>
        <w:t>）</w:t>
      </w:r>
      <w:r>
        <w:rPr>
          <w:rFonts w:hint="eastAsia" w:hAnsi="宋体"/>
          <w:color w:val="auto"/>
          <w:spacing w:val="-4"/>
          <w:sz w:val="24"/>
          <w:szCs w:val="24"/>
          <w:highlight w:val="none"/>
        </w:rPr>
        <w:t>时，不会产生因第三方提出侵犯其专利权、商标权或其它知识产权而引起的法律和经济纠纷，如因专利权、商标权或其它知识产权而引</w:t>
      </w:r>
      <w:r>
        <w:rPr>
          <w:rFonts w:hint="eastAsia" w:hAnsi="宋体"/>
          <w:color w:val="auto"/>
          <w:spacing w:val="-3"/>
          <w:sz w:val="24"/>
          <w:szCs w:val="24"/>
          <w:highlight w:val="none"/>
        </w:rPr>
        <w:t>起法律和经济纠纷，由投标人承担所有相关责任。</w:t>
      </w:r>
    </w:p>
    <w:p w14:paraId="2E01845C">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15</w:t>
      </w:r>
      <w:r>
        <w:rPr>
          <w:rFonts w:hint="eastAsia" w:hAnsi="宋体"/>
          <w:color w:val="auto"/>
          <w:sz w:val="24"/>
          <w:szCs w:val="24"/>
          <w:highlight w:val="none"/>
        </w:rPr>
        <w:t>、投标文件的组成和顺序（顺序以软件为准）</w:t>
      </w:r>
    </w:p>
    <w:p w14:paraId="186EDC10">
      <w:pPr>
        <w:pStyle w:val="7"/>
        <w:spacing w:line="360" w:lineRule="auto"/>
        <w:ind w:left="0" w:firstLine="420"/>
        <w:jc w:val="both"/>
        <w:rPr>
          <w:rFonts w:hAnsi="宋体"/>
          <w:b w:val="0"/>
          <w:bCs w:val="0"/>
          <w:color w:val="auto"/>
          <w:sz w:val="24"/>
          <w:szCs w:val="24"/>
          <w:highlight w:val="none"/>
        </w:rPr>
      </w:pPr>
      <w:r>
        <w:rPr>
          <w:rFonts w:hAnsi="宋体"/>
          <w:bCs w:val="0"/>
          <w:color w:val="auto"/>
          <w:sz w:val="24"/>
          <w:szCs w:val="24"/>
          <w:highlight w:val="none"/>
        </w:rPr>
        <w:t xml:space="preserve">15.1 </w:t>
      </w:r>
      <w:r>
        <w:rPr>
          <w:rFonts w:hint="eastAsia" w:hAnsi="宋体"/>
          <w:color w:val="auto"/>
          <w:sz w:val="24"/>
          <w:szCs w:val="24"/>
          <w:highlight w:val="none"/>
        </w:rPr>
        <w:t>报价部分</w:t>
      </w:r>
      <w:r>
        <w:rPr>
          <w:rFonts w:hint="eastAsia" w:hAnsi="宋体"/>
          <w:b w:val="0"/>
          <w:bCs w:val="0"/>
          <w:color w:val="auto"/>
          <w:sz w:val="24"/>
          <w:szCs w:val="24"/>
          <w:highlight w:val="none"/>
        </w:rPr>
        <w:t>（详见投标文件格式）：</w:t>
      </w:r>
    </w:p>
    <w:p w14:paraId="0783186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5.1.1</w:t>
      </w:r>
      <w:r>
        <w:rPr>
          <w:rFonts w:hint="eastAsia" w:hAnsi="宋体"/>
          <w:b w:val="0"/>
          <w:bCs w:val="0"/>
          <w:color w:val="auto"/>
          <w:sz w:val="24"/>
          <w:szCs w:val="24"/>
          <w:highlight w:val="none"/>
        </w:rPr>
        <w:t>投标承诺函；</w:t>
      </w:r>
    </w:p>
    <w:p w14:paraId="13CF572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5.1.2</w:t>
      </w:r>
      <w:r>
        <w:rPr>
          <w:rFonts w:hint="eastAsia" w:hAnsi="宋体"/>
          <w:b w:val="0"/>
          <w:bCs w:val="0"/>
          <w:color w:val="auto"/>
          <w:sz w:val="24"/>
          <w:szCs w:val="24"/>
          <w:highlight w:val="none"/>
        </w:rPr>
        <w:t>授权委托书（如有授权）；</w:t>
      </w:r>
    </w:p>
    <w:p w14:paraId="4F391D3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5.1.3</w:t>
      </w:r>
      <w:r>
        <w:rPr>
          <w:rFonts w:hint="eastAsia" w:hAnsi="宋体"/>
          <w:b w:val="0"/>
          <w:bCs w:val="0"/>
          <w:color w:val="auto"/>
          <w:sz w:val="24"/>
          <w:szCs w:val="24"/>
          <w:highlight w:val="none"/>
        </w:rPr>
        <w:t>投标人法定代表人身份证复印件；</w:t>
      </w:r>
    </w:p>
    <w:p w14:paraId="0CAA7BD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5.1.4</w:t>
      </w:r>
      <w:r>
        <w:rPr>
          <w:rFonts w:hint="eastAsia" w:hAnsi="宋体"/>
          <w:b w:val="0"/>
          <w:bCs w:val="0"/>
          <w:color w:val="auto"/>
          <w:sz w:val="24"/>
          <w:szCs w:val="24"/>
          <w:highlight w:val="none"/>
        </w:rPr>
        <w:t>投标人授权代理人身份证复印件（如有授权）；</w:t>
      </w:r>
    </w:p>
    <w:p w14:paraId="74058F7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5.1.5</w:t>
      </w:r>
      <w:r>
        <w:rPr>
          <w:rFonts w:hint="eastAsia" w:hAnsi="宋体"/>
          <w:b w:val="0"/>
          <w:bCs w:val="0"/>
          <w:color w:val="auto"/>
          <w:sz w:val="24"/>
          <w:szCs w:val="24"/>
          <w:highlight w:val="none"/>
        </w:rPr>
        <w:t>开标一览表（详见软件格式）；</w:t>
      </w:r>
    </w:p>
    <w:p w14:paraId="2E29F09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5.1.6</w:t>
      </w:r>
      <w:r>
        <w:rPr>
          <w:rFonts w:hint="eastAsia" w:hAnsi="宋体"/>
          <w:b w:val="0"/>
          <w:bCs w:val="0"/>
          <w:color w:val="auto"/>
          <w:sz w:val="24"/>
          <w:szCs w:val="24"/>
          <w:highlight w:val="none"/>
        </w:rPr>
        <w:t>投标报价明细表（详见投标文件格式）</w:t>
      </w:r>
    </w:p>
    <w:p w14:paraId="2AC1087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5.1.7</w:t>
      </w:r>
      <w:r>
        <w:rPr>
          <w:rFonts w:hint="eastAsia" w:hAnsi="宋体"/>
          <w:b w:val="0"/>
          <w:bCs w:val="0"/>
          <w:color w:val="auto"/>
          <w:sz w:val="24"/>
          <w:szCs w:val="24"/>
          <w:highlight w:val="none"/>
        </w:rPr>
        <w:t>关于资格文件的声明函（详见投标文件格式）；</w:t>
      </w:r>
    </w:p>
    <w:p w14:paraId="080B45A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5.1.8</w:t>
      </w:r>
      <w:r>
        <w:rPr>
          <w:rFonts w:hint="eastAsia" w:hAnsi="宋体"/>
          <w:b w:val="0"/>
          <w:bCs w:val="0"/>
          <w:color w:val="auto"/>
          <w:sz w:val="24"/>
          <w:szCs w:val="24"/>
          <w:highlight w:val="none"/>
        </w:rPr>
        <w:t>投标单位情况表（详见投标文件格式）；</w:t>
      </w:r>
    </w:p>
    <w:p w14:paraId="3DDB543E">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 xml:space="preserve">5.2 </w:t>
      </w:r>
      <w:r>
        <w:rPr>
          <w:rFonts w:hint="eastAsia" w:hAnsi="宋体"/>
          <w:bCs w:val="0"/>
          <w:color w:val="auto"/>
          <w:sz w:val="24"/>
          <w:szCs w:val="24"/>
          <w:highlight w:val="none"/>
        </w:rPr>
        <w:t>资质证明文件部分</w:t>
      </w:r>
    </w:p>
    <w:p w14:paraId="6337019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5.2.1</w:t>
      </w:r>
      <w:r>
        <w:rPr>
          <w:rFonts w:hint="eastAsia" w:hAnsi="宋体"/>
          <w:b w:val="0"/>
          <w:bCs w:val="0"/>
          <w:color w:val="auto"/>
          <w:sz w:val="24"/>
          <w:szCs w:val="24"/>
          <w:highlight w:val="none"/>
        </w:rPr>
        <w:t>投标单位营业执照副本或三证合一营业执照扫描件；</w:t>
      </w:r>
    </w:p>
    <w:p w14:paraId="54290D8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5.2.2 </w:t>
      </w:r>
      <w:r>
        <w:rPr>
          <w:rFonts w:hint="eastAsia" w:hAnsi="宋体"/>
          <w:b w:val="0"/>
          <w:bCs w:val="0"/>
          <w:color w:val="auto"/>
          <w:sz w:val="24"/>
          <w:szCs w:val="24"/>
          <w:highlight w:val="none"/>
        </w:rPr>
        <w:t>投标人参加本次政府采购活动前的财务状况报告或者银行出具的资信证明；</w:t>
      </w:r>
    </w:p>
    <w:p w14:paraId="162E16C1">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15.2.3 </w:t>
      </w:r>
      <w:r>
        <w:rPr>
          <w:rFonts w:hint="eastAsia" w:hAnsi="宋体"/>
          <w:b w:val="0"/>
          <w:bCs w:val="0"/>
          <w:color w:val="auto"/>
          <w:sz w:val="24"/>
          <w:szCs w:val="24"/>
          <w:highlight w:val="none"/>
        </w:rPr>
        <w:t>投标人根据项目需求提供履行合同所必需的设备和专业技术能力的证明材料；</w:t>
      </w:r>
    </w:p>
    <w:p w14:paraId="5808C6D9">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15.2.4 </w:t>
      </w:r>
      <w:r>
        <w:rPr>
          <w:rFonts w:hint="eastAsia" w:hAnsi="宋体"/>
          <w:b w:val="0"/>
          <w:bCs w:val="0"/>
          <w:color w:val="auto"/>
          <w:sz w:val="24"/>
          <w:szCs w:val="24"/>
          <w:highlight w:val="none"/>
        </w:rPr>
        <w:t>投标人参加本次政府采购活动前半年（至少一个月）依法缴纳税收和社会保障资金的证明材料；</w:t>
      </w:r>
    </w:p>
    <w:p w14:paraId="2110625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int="eastAsia" w:hAnsi="宋体"/>
          <w:b w:val="0"/>
          <w:bCs w:val="0"/>
          <w:color w:val="auto"/>
          <w:sz w:val="24"/>
          <w:szCs w:val="24"/>
          <w:highlight w:val="none"/>
          <w:lang w:val="en-US" w:eastAsia="zh-CN"/>
        </w:rPr>
        <w:t>5</w:t>
      </w:r>
      <w:r>
        <w:rPr>
          <w:rFonts w:hAnsi="宋体"/>
          <w:b w:val="0"/>
          <w:bCs w:val="0"/>
          <w:color w:val="auto"/>
          <w:sz w:val="24"/>
          <w:szCs w:val="24"/>
          <w:highlight w:val="none"/>
        </w:rPr>
        <w:t xml:space="preserve">.2.5 </w:t>
      </w:r>
      <w:r>
        <w:rPr>
          <w:rFonts w:hint="eastAsia" w:hAnsi="宋体"/>
          <w:b w:val="0"/>
          <w:bCs w:val="0"/>
          <w:color w:val="auto"/>
          <w:sz w:val="24"/>
          <w:szCs w:val="24"/>
          <w:highlight w:val="none"/>
        </w:rPr>
        <w:t>投标人参加政府采购活动前在经营活动中没有重大违法记录的书面申明；</w:t>
      </w:r>
    </w:p>
    <w:p w14:paraId="4457269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5.2.6</w:t>
      </w:r>
      <w:r>
        <w:rPr>
          <w:rFonts w:hint="eastAsia" w:hAnsi="宋体"/>
          <w:b w:val="0"/>
          <w:bCs w:val="0"/>
          <w:color w:val="auto"/>
          <w:sz w:val="24"/>
          <w:szCs w:val="24"/>
          <w:highlight w:val="none"/>
        </w:rPr>
        <w:t>投标人证明其符合招标文件规定的投标人特定资格条件的证书、证明和文件材料（如有，见招标公告特定资格要求）；</w:t>
      </w:r>
    </w:p>
    <w:p w14:paraId="65C2751F">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15.2.7 </w:t>
      </w:r>
      <w:r>
        <w:rPr>
          <w:rFonts w:hint="eastAsia" w:hAnsi="宋体"/>
          <w:b w:val="0"/>
          <w:bCs w:val="0"/>
          <w:color w:val="auto"/>
          <w:sz w:val="24"/>
          <w:szCs w:val="24"/>
          <w:highlight w:val="none"/>
        </w:rPr>
        <w:t>中小企业声明函或残疾人福利性单位声明函监狱企业证明材料（如有）；</w:t>
      </w:r>
    </w:p>
    <w:p w14:paraId="7BCDFE1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5.2.8</w:t>
      </w:r>
      <w:r>
        <w:rPr>
          <w:rFonts w:hint="eastAsia" w:hAnsi="宋体"/>
          <w:b w:val="0"/>
          <w:bCs w:val="0"/>
          <w:color w:val="auto"/>
          <w:sz w:val="24"/>
          <w:szCs w:val="24"/>
          <w:highlight w:val="none"/>
        </w:rPr>
        <w:t>其他可以证明投标人资信、资质和货物、服务质量的证书、文件、推荐信等资料；（如有）</w:t>
      </w:r>
    </w:p>
    <w:p w14:paraId="403149B7">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5.3</w:t>
      </w:r>
      <w:r>
        <w:rPr>
          <w:rFonts w:hint="eastAsia" w:hAnsi="宋体"/>
          <w:bCs w:val="0"/>
          <w:color w:val="auto"/>
          <w:sz w:val="24"/>
          <w:szCs w:val="24"/>
          <w:highlight w:val="none"/>
        </w:rPr>
        <w:t>商务及</w:t>
      </w:r>
      <w:r>
        <w:rPr>
          <w:rFonts w:hint="eastAsia" w:hAnsi="宋体"/>
          <w:color w:val="auto"/>
          <w:sz w:val="24"/>
          <w:szCs w:val="24"/>
          <w:highlight w:val="none"/>
        </w:rPr>
        <w:t>技术部分</w:t>
      </w:r>
    </w:p>
    <w:p w14:paraId="36A6DE3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5.3.1</w:t>
      </w:r>
      <w:r>
        <w:rPr>
          <w:rFonts w:hint="eastAsia" w:hAnsi="宋体"/>
          <w:b w:val="0"/>
          <w:bCs w:val="0"/>
          <w:color w:val="auto"/>
          <w:sz w:val="24"/>
          <w:szCs w:val="24"/>
          <w:highlight w:val="none"/>
        </w:rPr>
        <w:t xml:space="preserve"> 技术方案；</w:t>
      </w:r>
    </w:p>
    <w:p w14:paraId="772CA53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5.3.2 </w:t>
      </w:r>
      <w:r>
        <w:rPr>
          <w:rFonts w:hint="eastAsia" w:hAnsi="宋体"/>
          <w:b w:val="0"/>
          <w:bCs w:val="0"/>
          <w:color w:val="auto"/>
          <w:sz w:val="24"/>
          <w:szCs w:val="24"/>
          <w:highlight w:val="none"/>
        </w:rPr>
        <w:t>技术（服务）要求偏离表、商务条款偏离表；</w:t>
      </w:r>
    </w:p>
    <w:p w14:paraId="61C65BC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5.3.3</w:t>
      </w:r>
      <w:r>
        <w:rPr>
          <w:rFonts w:hint="eastAsia" w:hAnsi="宋体"/>
          <w:b w:val="0"/>
          <w:bCs w:val="0"/>
          <w:color w:val="auto"/>
          <w:sz w:val="24"/>
          <w:szCs w:val="24"/>
          <w:highlight w:val="none"/>
        </w:rPr>
        <w:t>拟投入本项目的服务人员情况一览表；</w:t>
      </w:r>
    </w:p>
    <w:p w14:paraId="7B6677C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5.3.4</w:t>
      </w:r>
      <w:r>
        <w:rPr>
          <w:rFonts w:hint="eastAsia" w:hAnsi="宋体"/>
          <w:b w:val="0"/>
          <w:bCs w:val="0"/>
          <w:color w:val="auto"/>
          <w:sz w:val="24"/>
          <w:szCs w:val="24"/>
          <w:highlight w:val="none"/>
        </w:rPr>
        <w:t>企业业绩一览表；</w:t>
      </w:r>
    </w:p>
    <w:p w14:paraId="0675043C">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15.3.5</w:t>
      </w:r>
      <w:r>
        <w:rPr>
          <w:rFonts w:hint="eastAsia" w:hAnsi="宋体"/>
          <w:b w:val="0"/>
          <w:bCs w:val="0"/>
          <w:color w:val="auto"/>
          <w:sz w:val="24"/>
          <w:szCs w:val="24"/>
          <w:highlight w:val="none"/>
        </w:rPr>
        <w:t>拟投入本项目的养护（保洁）车辆情况一览表；</w:t>
      </w:r>
    </w:p>
    <w:p w14:paraId="009B94F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5.3.6</w:t>
      </w:r>
      <w:r>
        <w:rPr>
          <w:rFonts w:hint="eastAsia" w:hAnsi="宋体"/>
          <w:b w:val="0"/>
          <w:bCs w:val="0"/>
          <w:color w:val="auto"/>
          <w:sz w:val="24"/>
          <w:szCs w:val="24"/>
          <w:highlight w:val="none"/>
        </w:rPr>
        <w:t>拟投入本项目的设备一览表、招标文件及评分标准中要求提供的其他相关材料（如有）；</w:t>
      </w:r>
    </w:p>
    <w:p w14:paraId="2CC95AD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5.3.7</w:t>
      </w:r>
      <w:r>
        <w:rPr>
          <w:rFonts w:hint="eastAsia" w:hAnsi="宋体"/>
          <w:b w:val="0"/>
          <w:bCs w:val="0"/>
          <w:color w:val="auto"/>
          <w:sz w:val="24"/>
          <w:szCs w:val="24"/>
          <w:highlight w:val="none"/>
        </w:rPr>
        <w:t>其他需投标人对本次投标的详细说明（投标人视各自的情况自行编制）。</w:t>
      </w:r>
    </w:p>
    <w:p w14:paraId="7D460CF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7F314C2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5.4 </w:t>
      </w:r>
      <w:r>
        <w:rPr>
          <w:rFonts w:hint="eastAsia" w:hAnsi="宋体"/>
          <w:color w:val="auto"/>
          <w:sz w:val="24"/>
          <w:szCs w:val="24"/>
          <w:highlight w:val="none"/>
        </w:rPr>
        <w:t>投标文件由</w:t>
      </w:r>
      <w:r>
        <w:rPr>
          <w:rFonts w:hAnsi="宋体"/>
          <w:color w:val="auto"/>
          <w:sz w:val="24"/>
          <w:szCs w:val="24"/>
          <w:highlight w:val="none"/>
        </w:rPr>
        <w:t xml:space="preserve"> 15.1</w:t>
      </w:r>
      <w:r>
        <w:rPr>
          <w:rFonts w:hint="eastAsia" w:hAnsi="宋体"/>
          <w:color w:val="auto"/>
          <w:sz w:val="24"/>
          <w:szCs w:val="24"/>
          <w:highlight w:val="none"/>
        </w:rPr>
        <w:t>-</w:t>
      </w:r>
      <w:r>
        <w:rPr>
          <w:rFonts w:hAnsi="宋体"/>
          <w:color w:val="auto"/>
          <w:sz w:val="24"/>
          <w:szCs w:val="24"/>
          <w:highlight w:val="none"/>
        </w:rPr>
        <w:t xml:space="preserve">15.3 </w:t>
      </w:r>
      <w:r>
        <w:rPr>
          <w:rFonts w:hint="eastAsia" w:hAnsi="宋体"/>
          <w:color w:val="auto"/>
          <w:sz w:val="24"/>
          <w:szCs w:val="24"/>
          <w:highlight w:val="none"/>
        </w:rPr>
        <w:t>款规定的内容共同组成。</w:t>
      </w:r>
    </w:p>
    <w:p w14:paraId="48ACBA2B">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16</w:t>
      </w:r>
      <w:r>
        <w:rPr>
          <w:rFonts w:hint="eastAsia" w:hAnsi="宋体"/>
          <w:color w:val="auto"/>
          <w:sz w:val="24"/>
          <w:szCs w:val="24"/>
          <w:highlight w:val="none"/>
        </w:rPr>
        <w:t>、投标文件编制要求</w:t>
      </w:r>
    </w:p>
    <w:p w14:paraId="538A1EB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16.1电子投标文件编制要求：投标人应使用</w:t>
      </w:r>
      <w:r>
        <w:rPr>
          <w:rFonts w:hint="eastAsia" w:hAnsi="宋体"/>
          <w:color w:val="auto"/>
          <w:sz w:val="24"/>
          <w:szCs w:val="24"/>
          <w:highlight w:val="none"/>
        </w:rPr>
        <w:t>招标文件要求的投标文件制作软件制作电子投标文件</w:t>
      </w:r>
      <w:r>
        <w:rPr>
          <w:rFonts w:hint="eastAsia" w:hAnsi="宋体"/>
          <w:b w:val="0"/>
          <w:bCs w:val="0"/>
          <w:color w:val="auto"/>
          <w:sz w:val="24"/>
          <w:szCs w:val="24"/>
          <w:highlight w:val="none"/>
        </w:rPr>
        <w:t>，电子投标文件按招标文件规定的格式制作，如果未按要求制作上传，可能导致投标无效。</w:t>
      </w:r>
    </w:p>
    <w:p w14:paraId="4E04D3E5">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w:t>
      </w:r>
      <w:r>
        <w:rPr>
          <w:rFonts w:hAnsi="宋体"/>
          <w:bCs w:val="0"/>
          <w:color w:val="auto"/>
          <w:sz w:val="24"/>
          <w:szCs w:val="24"/>
          <w:highlight w:val="none"/>
        </w:rPr>
        <w:t>6.2</w:t>
      </w:r>
      <w:r>
        <w:rPr>
          <w:rFonts w:hint="eastAsia" w:hAnsi="宋体"/>
          <w:bCs w:val="0"/>
          <w:color w:val="auto"/>
          <w:sz w:val="24"/>
          <w:szCs w:val="24"/>
          <w:highlight w:val="none"/>
        </w:rPr>
        <w:t>电子投标准备</w:t>
      </w:r>
    </w:p>
    <w:p w14:paraId="607DBCCC">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供应商在“苏采云”系统中操作成功参与项目后，必须在“已参与项目”界面中下载电子招标文件（后缀名为“.kedt”）并导入政府采购客户端工具（下载链接：</w:t>
      </w:r>
      <w:r>
        <w:rPr>
          <w:rFonts w:hAnsi="宋体"/>
          <w:bCs w:val="0"/>
          <w:color w:val="auto"/>
          <w:sz w:val="24"/>
          <w:szCs w:val="24"/>
          <w:highlight w:val="none"/>
        </w:rPr>
        <w:t>http://www.ccgp-jiangsu.gov.cn/jiangsu/zlxz/ee/ee3a4bc5a3454aa2b0d9312230633ce9.html</w:t>
      </w:r>
      <w:r>
        <w:rPr>
          <w:rFonts w:hint="eastAsia" w:hAnsi="宋体"/>
          <w:bCs w:val="0"/>
          <w:color w:val="auto"/>
          <w:sz w:val="24"/>
          <w:szCs w:val="24"/>
          <w:highlight w:val="none"/>
        </w:rPr>
        <w:t>）后方可进行投标文件制作和提交（具体详见《苏采云系统供应商操作手册》，网址链接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color w:val="auto"/>
          <w:highlight w:val="none"/>
        </w:rPr>
        <w:fldChar w:fldCharType="separate"/>
      </w:r>
      <w:r>
        <w:rPr>
          <w:rFonts w:hint="eastAsia" w:hAnsi="宋体"/>
          <w:color w:val="auto"/>
          <w:sz w:val="24"/>
          <w:szCs w:val="24"/>
          <w:highlight w:val="none"/>
        </w:rPr>
        <w:t>https://czju.suzhou.gov.cn/zfcg/html/content/20231220161910031.shtml</w:t>
      </w:r>
      <w:r>
        <w:rPr>
          <w:rFonts w:hint="eastAsia" w:hAnsi="宋体"/>
          <w:color w:val="auto"/>
          <w:sz w:val="24"/>
          <w:szCs w:val="24"/>
          <w:highlight w:val="none"/>
        </w:rPr>
        <w:fldChar w:fldCharType="end"/>
      </w:r>
      <w:r>
        <w:rPr>
          <w:rFonts w:hint="eastAsia" w:hAnsi="宋体"/>
          <w:bCs w:val="0"/>
          <w:color w:val="auto"/>
          <w:sz w:val="24"/>
          <w:szCs w:val="24"/>
          <w:highlight w:val="none"/>
        </w:rPr>
        <w:t>）</w:t>
      </w:r>
    </w:p>
    <w:p w14:paraId="12286395">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17</w:t>
      </w:r>
      <w:r>
        <w:rPr>
          <w:rFonts w:hint="eastAsia" w:hAnsi="宋体"/>
          <w:color w:val="auto"/>
          <w:sz w:val="24"/>
          <w:szCs w:val="24"/>
          <w:highlight w:val="none"/>
        </w:rPr>
        <w:t>、投标报价（编制）要求的说明</w:t>
      </w:r>
    </w:p>
    <w:p w14:paraId="19C010C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7.1 </w:t>
      </w:r>
      <w:r>
        <w:rPr>
          <w:rFonts w:hint="eastAsia" w:hAnsi="宋体"/>
          <w:b w:val="0"/>
          <w:bCs w:val="0"/>
          <w:color w:val="auto"/>
          <w:sz w:val="24"/>
          <w:szCs w:val="24"/>
          <w:highlight w:val="none"/>
        </w:rPr>
        <w:t>除非合同中另有规定，投标人对《开标一览表》中的报价应包括本项目应包含的一切费用，采购人不再支付其他任何费用。</w:t>
      </w:r>
    </w:p>
    <w:p w14:paraId="2284524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7.2 </w:t>
      </w:r>
      <w:r>
        <w:rPr>
          <w:rFonts w:hint="eastAsia" w:hAnsi="宋体"/>
          <w:b w:val="0"/>
          <w:bCs w:val="0"/>
          <w:color w:val="auto"/>
          <w:sz w:val="24"/>
          <w:szCs w:val="24"/>
          <w:highlight w:val="none"/>
        </w:rPr>
        <w:t>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263A7C0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7.3 </w:t>
      </w:r>
      <w:r>
        <w:rPr>
          <w:rFonts w:hint="eastAsia" w:hAnsi="宋体"/>
          <w:b w:val="0"/>
          <w:bCs w:val="0"/>
          <w:color w:val="auto"/>
          <w:sz w:val="24"/>
          <w:szCs w:val="24"/>
          <w:highlight w:val="none"/>
        </w:rPr>
        <w:t>一项投标内容只允许一个报价，招标采购单位不接受任何有选择性的投标报价。</w:t>
      </w:r>
    </w:p>
    <w:p w14:paraId="1CBE26A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7.4 </w:t>
      </w:r>
      <w:r>
        <w:rPr>
          <w:rFonts w:hint="eastAsia" w:hAnsi="宋体"/>
          <w:b w:val="0"/>
          <w:bCs w:val="0"/>
          <w:color w:val="auto"/>
          <w:sz w:val="24"/>
          <w:szCs w:val="24"/>
          <w:highlight w:val="none"/>
        </w:rPr>
        <w:t>投标文件报价中的单价和总价全部采用人民币表示，除非合同的特殊条款另有规定。</w:t>
      </w:r>
    </w:p>
    <w:p w14:paraId="0FD9500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7.5 </w:t>
      </w:r>
      <w:r>
        <w:rPr>
          <w:rFonts w:hint="eastAsia" w:hAnsi="宋体"/>
          <w:b w:val="0"/>
          <w:bCs w:val="0"/>
          <w:color w:val="auto"/>
          <w:sz w:val="24"/>
          <w:szCs w:val="24"/>
          <w:highlight w:val="none"/>
        </w:rPr>
        <w:t>最低的投标报价或最高的折扣比例是中标的重要条件，但不是中标的唯一条件。</w:t>
      </w:r>
    </w:p>
    <w:p w14:paraId="0B942A2D">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18</w:t>
      </w:r>
      <w:r>
        <w:rPr>
          <w:rFonts w:hint="eastAsia" w:hAnsi="宋体"/>
          <w:color w:val="auto"/>
          <w:sz w:val="24"/>
          <w:szCs w:val="24"/>
          <w:highlight w:val="none"/>
        </w:rPr>
        <w:t>、投标保证金</w:t>
      </w:r>
    </w:p>
    <w:p w14:paraId="4EB3C90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本项目无须缴纳投标保证金。</w:t>
      </w:r>
    </w:p>
    <w:p w14:paraId="23C7039F">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19</w:t>
      </w:r>
      <w:r>
        <w:rPr>
          <w:rFonts w:hint="eastAsia" w:hAnsi="宋体"/>
          <w:color w:val="auto"/>
          <w:sz w:val="24"/>
          <w:szCs w:val="24"/>
          <w:highlight w:val="none"/>
        </w:rPr>
        <w:t>、投标文件的有效期</w:t>
      </w:r>
    </w:p>
    <w:p w14:paraId="3EB8F5C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9.1 </w:t>
      </w:r>
      <w:r>
        <w:rPr>
          <w:rFonts w:hint="eastAsia" w:hAnsi="宋体"/>
          <w:b w:val="0"/>
          <w:bCs w:val="0"/>
          <w:color w:val="auto"/>
          <w:sz w:val="24"/>
          <w:szCs w:val="24"/>
          <w:highlight w:val="none"/>
        </w:rPr>
        <w:t>在本招标文件规定的开标之日起9</w:t>
      </w:r>
      <w:r>
        <w:rPr>
          <w:rFonts w:hAnsi="宋体"/>
          <w:b w:val="0"/>
          <w:bCs w:val="0"/>
          <w:color w:val="auto"/>
          <w:sz w:val="24"/>
          <w:szCs w:val="24"/>
          <w:highlight w:val="none"/>
        </w:rPr>
        <w:t>0</w:t>
      </w:r>
      <w:r>
        <w:rPr>
          <w:rFonts w:hint="eastAsia" w:hAnsi="宋体"/>
          <w:b w:val="0"/>
          <w:bCs w:val="0"/>
          <w:color w:val="auto"/>
          <w:sz w:val="24"/>
          <w:szCs w:val="24"/>
          <w:highlight w:val="none"/>
        </w:rPr>
        <w:t>天内，投标人所提交的投标文件应保持有效。有效期短于这个规定期限的投标文件，将被认定为未实质性响应招标文件要求。</w:t>
      </w:r>
    </w:p>
    <w:p w14:paraId="42C2AAE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1</w:t>
      </w:r>
      <w:r>
        <w:rPr>
          <w:rFonts w:hAnsi="宋体"/>
          <w:b w:val="0"/>
          <w:bCs w:val="0"/>
          <w:color w:val="auto"/>
          <w:sz w:val="24"/>
          <w:szCs w:val="24"/>
          <w:highlight w:val="none"/>
        </w:rPr>
        <w:t xml:space="preserve">9.2 </w:t>
      </w:r>
      <w:r>
        <w:rPr>
          <w:rFonts w:hint="eastAsia" w:hAnsi="宋体"/>
          <w:b w:val="0"/>
          <w:bCs w:val="0"/>
          <w:color w:val="auto"/>
          <w:sz w:val="24"/>
          <w:szCs w:val="24"/>
          <w:highlight w:val="none"/>
        </w:rPr>
        <w:t>在特殊情况下，招标采购单位可与投标人协商延长投标书的有效期。这种要求和答复都应以书面形式进行。</w:t>
      </w:r>
      <w:r>
        <w:rPr>
          <w:rFonts w:hint="eastAsia" w:hAnsi="宋体"/>
          <w:color w:val="auto"/>
          <w:sz w:val="24"/>
          <w:szCs w:val="24"/>
          <w:highlight w:val="none"/>
        </w:rPr>
        <w:t>同意延长有效期的投标人不能修改投标文件。拒绝接受延期要求的投标人的投标将被拒绝。</w:t>
      </w:r>
    </w:p>
    <w:p w14:paraId="6A21DEDE">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五、投标文件的递交、撤回和修改</w:t>
      </w:r>
    </w:p>
    <w:p w14:paraId="1B4346AA">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20、投标文件的上传、提交</w:t>
      </w:r>
    </w:p>
    <w:p w14:paraId="4A20BE3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20.1投标人应将制作好的加密电子投标文件按要求在投标截止时间前上传到交易系统平台中。</w:t>
      </w:r>
    </w:p>
    <w:p w14:paraId="27049198">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21、投标截止时间</w:t>
      </w:r>
    </w:p>
    <w:p w14:paraId="2957A5D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21.1电子投标文件必须按招标公告中规定的网上投标截止时间前提交，否则投标无效。</w:t>
      </w:r>
    </w:p>
    <w:p w14:paraId="7DF24F6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21.2采购代理机构推迟投标截止时间时，应以更正公告的形式，通知所有投标人。在这种情况下，采购代理机构和投标人的权利和义务将受到新的截止期的约束。</w:t>
      </w:r>
    </w:p>
    <w:p w14:paraId="799F88F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21.3在投标截止时间止采购代理机构收到的电子投标文件少于三份的，采购代理机构有权宣布本次招标失败。</w:t>
      </w:r>
    </w:p>
    <w:p w14:paraId="13EA2B6D">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22、投标文件的修改和撤回</w:t>
      </w:r>
    </w:p>
    <w:p w14:paraId="5DA4332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22.1投标人在提交投标文件截止时间前，可对其投标文件进行撤回或修改。</w:t>
      </w:r>
    </w:p>
    <w:p w14:paraId="4B7D84C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2</w:t>
      </w:r>
      <w:r>
        <w:rPr>
          <w:rFonts w:hint="eastAsia" w:hAnsi="宋体"/>
          <w:b w:val="0"/>
          <w:bCs w:val="0"/>
          <w:color w:val="auto"/>
          <w:sz w:val="24"/>
          <w:szCs w:val="24"/>
          <w:highlight w:val="none"/>
        </w:rPr>
        <w:t>.2开标后投标人不得撤回投标。</w:t>
      </w:r>
    </w:p>
    <w:p w14:paraId="3E0A88A5">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六、开标和评标</w:t>
      </w:r>
    </w:p>
    <w:p w14:paraId="217A8DEE">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23</w:t>
      </w:r>
      <w:r>
        <w:rPr>
          <w:rFonts w:hint="eastAsia" w:hAnsi="宋体"/>
          <w:color w:val="auto"/>
          <w:sz w:val="24"/>
          <w:szCs w:val="24"/>
          <w:highlight w:val="none"/>
        </w:rPr>
        <w:t>、开标</w:t>
      </w:r>
    </w:p>
    <w:p w14:paraId="2F0B9EC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23.1采购代理机构按采购公告规定的时间、地点主持不见面开标活动。开标仪式由采购代理机构主持。</w:t>
      </w:r>
    </w:p>
    <w:p w14:paraId="1CD4E89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23.2</w:t>
      </w:r>
      <w:r>
        <w:rPr>
          <w:rFonts w:hint="eastAsia" w:hAnsi="宋体"/>
          <w:color w:val="auto"/>
          <w:sz w:val="24"/>
          <w:szCs w:val="24"/>
          <w:highlight w:val="none"/>
        </w:rPr>
        <w:t>参加开标的投标法定代表人或授权代理人须在项目开标前登录苏采云不见面开标系统，进入网上不见面开标大厅，做好相关准备工作。</w:t>
      </w:r>
    </w:p>
    <w:p w14:paraId="1FB3165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23.3</w:t>
      </w:r>
      <w:r>
        <w:rPr>
          <w:rFonts w:hint="eastAsia" w:hAnsi="宋体"/>
          <w:color w:val="auto"/>
          <w:sz w:val="24"/>
          <w:szCs w:val="24"/>
          <w:highlight w:val="none"/>
        </w:rPr>
        <w:t>本项目开标后在规定的解密时间内，投标人须自行登录网上开标大厅解密投标文件，解密时间以系统提示为准，因自身原因导致解密失败的，由投标人自行承担相关责任。</w:t>
      </w:r>
    </w:p>
    <w:p w14:paraId="5228364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23.4采购代理机构在开标仪式上，将公布投标人的名称、投标价格，并将作唱标记录。</w:t>
      </w:r>
    </w:p>
    <w:p w14:paraId="48B2689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23.5投标人代表对开标过程和开标记录有疑义，以及认为采购人、采购代理机构相关工作人员有需要回避的情形的，</w:t>
      </w:r>
      <w:r>
        <w:rPr>
          <w:rFonts w:hint="eastAsia" w:hAnsi="宋体"/>
          <w:color w:val="auto"/>
          <w:sz w:val="24"/>
          <w:szCs w:val="24"/>
          <w:highlight w:val="none"/>
        </w:rPr>
        <w:t>应通过不见面开标大厅</w:t>
      </w:r>
      <w:r>
        <w:rPr>
          <w:rFonts w:hint="eastAsia" w:hAnsi="宋体"/>
          <w:b w:val="0"/>
          <w:bCs w:val="0"/>
          <w:color w:val="auto"/>
          <w:sz w:val="24"/>
          <w:szCs w:val="24"/>
          <w:highlight w:val="none"/>
        </w:rPr>
        <w:t>提出询问或者回避申请。采购人、采购代理机构对投标人代表提出的询问或者回避申请应当及时处理。</w:t>
      </w:r>
    </w:p>
    <w:p w14:paraId="06BBBF4E">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24</w:t>
      </w:r>
      <w:r>
        <w:rPr>
          <w:rFonts w:hint="eastAsia" w:hAnsi="宋体"/>
          <w:color w:val="auto"/>
          <w:sz w:val="24"/>
          <w:szCs w:val="24"/>
          <w:highlight w:val="none"/>
        </w:rPr>
        <w:t>、评标委员会</w:t>
      </w:r>
    </w:p>
    <w:p w14:paraId="3E862EB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4.1 </w:t>
      </w:r>
      <w:r>
        <w:rPr>
          <w:rFonts w:hint="eastAsia" w:hAnsi="宋体"/>
          <w:b w:val="0"/>
          <w:bCs w:val="0"/>
          <w:color w:val="auto"/>
          <w:sz w:val="24"/>
          <w:szCs w:val="24"/>
          <w:highlight w:val="none"/>
        </w:rPr>
        <w:t>评标委员会由招标采购单位依法组建，负责本项目的评标事务。</w:t>
      </w:r>
    </w:p>
    <w:p w14:paraId="4E928FD9">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 </w:t>
      </w:r>
      <w:r>
        <w:rPr>
          <w:rFonts w:hint="eastAsia" w:hAnsi="宋体"/>
          <w:b w:val="0"/>
          <w:bCs w:val="0"/>
          <w:color w:val="auto"/>
          <w:sz w:val="24"/>
          <w:szCs w:val="24"/>
          <w:highlight w:val="none"/>
        </w:rPr>
        <w:t>评标委员会独立履行下列职责：</w:t>
      </w:r>
    </w:p>
    <w:p w14:paraId="318BA81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4.2.1 </w:t>
      </w:r>
      <w:r>
        <w:rPr>
          <w:rFonts w:hint="eastAsia" w:hAnsi="宋体"/>
          <w:b w:val="0"/>
          <w:bCs w:val="0"/>
          <w:color w:val="auto"/>
          <w:sz w:val="24"/>
          <w:szCs w:val="24"/>
          <w:highlight w:val="none"/>
        </w:rPr>
        <w:t>审查投标文件是否符合招标文件的要求，并作评价；</w:t>
      </w:r>
    </w:p>
    <w:p w14:paraId="258DEEC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4.2.2 </w:t>
      </w:r>
      <w:r>
        <w:rPr>
          <w:rFonts w:hint="eastAsia" w:hAnsi="宋体"/>
          <w:b w:val="0"/>
          <w:bCs w:val="0"/>
          <w:color w:val="auto"/>
          <w:sz w:val="24"/>
          <w:szCs w:val="24"/>
          <w:highlight w:val="none"/>
        </w:rPr>
        <w:t>可要求投标供应商对投标文件有关事项作解释或澄清；</w:t>
      </w:r>
    </w:p>
    <w:p w14:paraId="1BB75A0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4.2.3 </w:t>
      </w:r>
      <w:r>
        <w:rPr>
          <w:rFonts w:hint="eastAsia" w:hAnsi="宋体"/>
          <w:b w:val="0"/>
          <w:bCs w:val="0"/>
          <w:color w:val="auto"/>
          <w:sz w:val="24"/>
          <w:szCs w:val="24"/>
          <w:highlight w:val="none"/>
        </w:rPr>
        <w:t>评标委员会负责本次招标的评标活动，向采购人推荐中标供应商；</w:t>
      </w:r>
    </w:p>
    <w:p w14:paraId="6EB576E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4.2.4 </w:t>
      </w:r>
      <w:r>
        <w:rPr>
          <w:rFonts w:hint="eastAsia" w:hAnsi="宋体"/>
          <w:b w:val="0"/>
          <w:bCs w:val="0"/>
          <w:color w:val="auto"/>
          <w:sz w:val="24"/>
          <w:szCs w:val="24"/>
          <w:highlight w:val="none"/>
        </w:rPr>
        <w:t>向招标采购单位或者有关部门报告非法干预评标工作的行为。</w:t>
      </w:r>
    </w:p>
    <w:p w14:paraId="1D4F26B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 </w:t>
      </w:r>
      <w:r>
        <w:rPr>
          <w:rFonts w:hint="eastAsia" w:hAnsi="宋体"/>
          <w:b w:val="0"/>
          <w:bCs w:val="0"/>
          <w:color w:val="auto"/>
          <w:sz w:val="24"/>
          <w:szCs w:val="24"/>
          <w:highlight w:val="none"/>
        </w:rPr>
        <w:t>评标委员会成员应当履行下列义务：</w:t>
      </w:r>
    </w:p>
    <w:p w14:paraId="29DF3DA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4.3.1 </w:t>
      </w:r>
      <w:r>
        <w:rPr>
          <w:rFonts w:hint="eastAsia" w:hAnsi="宋体"/>
          <w:b w:val="0"/>
          <w:bCs w:val="0"/>
          <w:color w:val="auto"/>
          <w:sz w:val="24"/>
          <w:szCs w:val="24"/>
          <w:highlight w:val="none"/>
        </w:rPr>
        <w:t>遵纪守法，客观、公正、廉洁地履行职责；</w:t>
      </w:r>
    </w:p>
    <w:p w14:paraId="5F908D0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4.3.2 </w:t>
      </w:r>
      <w:r>
        <w:rPr>
          <w:rFonts w:hint="eastAsia" w:hAnsi="宋体"/>
          <w:b w:val="0"/>
          <w:bCs w:val="0"/>
          <w:color w:val="auto"/>
          <w:sz w:val="24"/>
          <w:szCs w:val="24"/>
          <w:highlight w:val="none"/>
        </w:rPr>
        <w:t>按照招标文件规定的评标办法和评标标准进行评标，对评审意见承担个人责任；</w:t>
      </w:r>
    </w:p>
    <w:p w14:paraId="540F352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4.3.3 </w:t>
      </w:r>
      <w:r>
        <w:rPr>
          <w:rFonts w:hint="eastAsia" w:hAnsi="宋体"/>
          <w:b w:val="0"/>
          <w:bCs w:val="0"/>
          <w:color w:val="auto"/>
          <w:sz w:val="24"/>
          <w:szCs w:val="24"/>
          <w:highlight w:val="none"/>
        </w:rPr>
        <w:t>对评标过程和结果，以及投标人的商业秘密保密；</w:t>
      </w:r>
    </w:p>
    <w:p w14:paraId="79E0E13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4.3.4 </w:t>
      </w:r>
      <w:r>
        <w:rPr>
          <w:rFonts w:hint="eastAsia" w:hAnsi="宋体"/>
          <w:b w:val="0"/>
          <w:bCs w:val="0"/>
          <w:color w:val="auto"/>
          <w:sz w:val="24"/>
          <w:szCs w:val="24"/>
          <w:highlight w:val="none"/>
        </w:rPr>
        <w:t>参与评标报告的起草；</w:t>
      </w:r>
    </w:p>
    <w:p w14:paraId="1E93C9A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4.3.5 </w:t>
      </w:r>
      <w:r>
        <w:rPr>
          <w:rFonts w:hint="eastAsia" w:hAnsi="宋体"/>
          <w:b w:val="0"/>
          <w:bCs w:val="0"/>
          <w:color w:val="auto"/>
          <w:sz w:val="24"/>
          <w:szCs w:val="24"/>
          <w:highlight w:val="none"/>
        </w:rPr>
        <w:t>配合相关部门的投诉处理工作；</w:t>
      </w:r>
    </w:p>
    <w:p w14:paraId="48B9B11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4.3.6 </w:t>
      </w:r>
      <w:r>
        <w:rPr>
          <w:rFonts w:hint="eastAsia" w:hAnsi="宋体"/>
          <w:b w:val="0"/>
          <w:bCs w:val="0"/>
          <w:color w:val="auto"/>
          <w:sz w:val="24"/>
          <w:szCs w:val="24"/>
          <w:highlight w:val="none"/>
        </w:rPr>
        <w:t>配合招标采购单位答复投标供应商提出的质疑。</w:t>
      </w:r>
    </w:p>
    <w:p w14:paraId="65B1312D">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25</w:t>
      </w:r>
      <w:r>
        <w:rPr>
          <w:rFonts w:hint="eastAsia" w:hAnsi="宋体"/>
          <w:color w:val="auto"/>
          <w:sz w:val="24"/>
          <w:szCs w:val="24"/>
          <w:highlight w:val="none"/>
        </w:rPr>
        <w:t>、评标内容的保密</w:t>
      </w:r>
    </w:p>
    <w:p w14:paraId="07A63F6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5.1 </w:t>
      </w:r>
      <w:r>
        <w:rPr>
          <w:rFonts w:hint="eastAsia" w:hAnsi="宋体"/>
          <w:b w:val="0"/>
          <w:bCs w:val="0"/>
          <w:color w:val="auto"/>
          <w:sz w:val="24"/>
          <w:szCs w:val="24"/>
          <w:highlight w:val="none"/>
        </w:rPr>
        <w:t>公开开标后，直到宣布授予中标供应商合同为止，凡属于审查、澄清、评价和比较投标的所有资料，有关授予合同的信息都不应向投标人或与评标无关的其他人泄露。</w:t>
      </w:r>
    </w:p>
    <w:p w14:paraId="5D09672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5.2 </w:t>
      </w:r>
      <w:r>
        <w:rPr>
          <w:rFonts w:hint="eastAsia" w:hAnsi="宋体"/>
          <w:b w:val="0"/>
          <w:bCs w:val="0"/>
          <w:color w:val="auto"/>
          <w:sz w:val="24"/>
          <w:szCs w:val="24"/>
          <w:highlight w:val="none"/>
        </w:rPr>
        <w:t>在投标文件的审查、澄清、评价和比较以及授予合同的过程中，投标人对招标采购单位和评标委员会成员施加影响的任何行为，都将取消其投标资格。</w:t>
      </w:r>
    </w:p>
    <w:p w14:paraId="6E6A43B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5.3 </w:t>
      </w:r>
      <w:r>
        <w:rPr>
          <w:rFonts w:hint="eastAsia" w:hAnsi="宋体"/>
          <w:b w:val="0"/>
          <w:bCs w:val="0"/>
          <w:color w:val="auto"/>
          <w:sz w:val="24"/>
          <w:szCs w:val="24"/>
          <w:highlight w:val="none"/>
        </w:rPr>
        <w:t>在评标期间，招标采购单位将通过指定联络人与投标人进行联系。</w:t>
      </w:r>
    </w:p>
    <w:p w14:paraId="03D8FA67">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26</w:t>
      </w:r>
      <w:r>
        <w:rPr>
          <w:rFonts w:hint="eastAsia" w:hAnsi="宋体"/>
          <w:color w:val="auto"/>
          <w:sz w:val="24"/>
          <w:szCs w:val="24"/>
          <w:highlight w:val="none"/>
        </w:rPr>
        <w:t>、对投标文件初审</w:t>
      </w:r>
    </w:p>
    <w:p w14:paraId="66CC93B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 </w:t>
      </w:r>
      <w:r>
        <w:rPr>
          <w:rFonts w:hint="eastAsia" w:hAnsi="宋体"/>
          <w:b w:val="0"/>
          <w:bCs w:val="0"/>
          <w:color w:val="auto"/>
          <w:sz w:val="24"/>
          <w:szCs w:val="24"/>
          <w:highlight w:val="none"/>
        </w:rPr>
        <w:t>投标文件初审分为资格性检查和符合性检查。</w:t>
      </w:r>
    </w:p>
    <w:p w14:paraId="038DCD04">
      <w:pPr>
        <w:pStyle w:val="7"/>
        <w:spacing w:line="360" w:lineRule="auto"/>
        <w:ind w:left="0" w:firstLine="420"/>
        <w:jc w:val="both"/>
        <w:rPr>
          <w:rFonts w:hAnsi="宋体"/>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6.1.1 </w:t>
      </w:r>
      <w:r>
        <w:rPr>
          <w:rFonts w:hint="eastAsia" w:hAnsi="宋体"/>
          <w:b w:val="0"/>
          <w:bCs w:val="0"/>
          <w:color w:val="auto"/>
          <w:sz w:val="24"/>
          <w:szCs w:val="24"/>
          <w:highlight w:val="none"/>
        </w:rPr>
        <w:t>资格性检查。依据法律法规和招标文件的规定，</w:t>
      </w:r>
      <w:r>
        <w:rPr>
          <w:rFonts w:hint="eastAsia" w:hAnsi="宋体"/>
          <w:color w:val="auto"/>
          <w:sz w:val="24"/>
          <w:szCs w:val="24"/>
          <w:highlight w:val="none"/>
        </w:rPr>
        <w:t>对投标文件中的资格证明相关资料进行审查，以确定投标供应商是否具备投标资格。</w:t>
      </w:r>
    </w:p>
    <w:tbl>
      <w:tblPr>
        <w:tblStyle w:val="42"/>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2268"/>
        <w:gridCol w:w="4536"/>
        <w:gridCol w:w="1346"/>
      </w:tblGrid>
      <w:tr w14:paraId="0C366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846" w:type="dxa"/>
            <w:vAlign w:val="center"/>
          </w:tcPr>
          <w:p w14:paraId="4873DEDE">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序号</w:t>
            </w:r>
          </w:p>
        </w:tc>
        <w:tc>
          <w:tcPr>
            <w:tcW w:w="2268" w:type="dxa"/>
            <w:vAlign w:val="center"/>
          </w:tcPr>
          <w:p w14:paraId="7F93D845">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审查因素</w:t>
            </w:r>
          </w:p>
        </w:tc>
        <w:tc>
          <w:tcPr>
            <w:tcW w:w="4536" w:type="dxa"/>
            <w:vAlign w:val="center"/>
          </w:tcPr>
          <w:p w14:paraId="5C1149AB">
            <w:pPr>
              <w:tabs>
                <w:tab w:val="left" w:pos="1080"/>
              </w:tabs>
              <w:adjustRightInd w:val="0"/>
              <w:snapToGrid w:val="0"/>
              <w:spacing w:line="360" w:lineRule="auto"/>
              <w:jc w:val="center"/>
              <w:rPr>
                <w:rFonts w:hAnsi="宋体" w:cs="Times New Roman"/>
                <w:b/>
                <w:color w:val="auto"/>
                <w:sz w:val="24"/>
                <w:szCs w:val="24"/>
                <w:highlight w:val="none"/>
              </w:rPr>
            </w:pPr>
            <w:r>
              <w:rPr>
                <w:rFonts w:hAnsi="宋体" w:cs="Times New Roman"/>
                <w:b/>
                <w:color w:val="auto"/>
                <w:sz w:val="24"/>
                <w:szCs w:val="24"/>
                <w:highlight w:val="none"/>
              </w:rPr>
              <w:t>审查内容</w:t>
            </w:r>
          </w:p>
        </w:tc>
        <w:tc>
          <w:tcPr>
            <w:tcW w:w="1346" w:type="dxa"/>
            <w:vAlign w:val="center"/>
          </w:tcPr>
          <w:p w14:paraId="30C1EED0">
            <w:pPr>
              <w:tabs>
                <w:tab w:val="left" w:pos="1080"/>
              </w:tabs>
              <w:adjustRightInd w:val="0"/>
              <w:snapToGrid w:val="0"/>
              <w:spacing w:line="360" w:lineRule="auto"/>
              <w:jc w:val="center"/>
              <w:rPr>
                <w:rFonts w:hAnsi="宋体" w:cs="Times New Roman"/>
                <w:b/>
                <w:color w:val="auto"/>
                <w:sz w:val="24"/>
                <w:szCs w:val="24"/>
                <w:highlight w:val="none"/>
              </w:rPr>
            </w:pPr>
            <w:r>
              <w:rPr>
                <w:rFonts w:hint="eastAsia" w:hAnsi="宋体" w:cs="Times New Roman"/>
                <w:b/>
                <w:color w:val="auto"/>
                <w:sz w:val="24"/>
                <w:szCs w:val="24"/>
                <w:highlight w:val="none"/>
              </w:rPr>
              <w:t>备注</w:t>
            </w:r>
          </w:p>
        </w:tc>
      </w:tr>
      <w:tr w14:paraId="4BDC0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3D36E9D3">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1</w:t>
            </w:r>
          </w:p>
        </w:tc>
        <w:tc>
          <w:tcPr>
            <w:tcW w:w="2268" w:type="dxa"/>
            <w:vAlign w:val="center"/>
          </w:tcPr>
          <w:p w14:paraId="593647A0">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满足《中华人民共和国政府采购法》第二十二条规定及法律法规的其他规定</w:t>
            </w:r>
          </w:p>
        </w:tc>
        <w:tc>
          <w:tcPr>
            <w:tcW w:w="4536" w:type="dxa"/>
            <w:vAlign w:val="center"/>
          </w:tcPr>
          <w:p w14:paraId="2BF8E243">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具体规定见第一章《招标公告》</w:t>
            </w:r>
          </w:p>
        </w:tc>
        <w:tc>
          <w:tcPr>
            <w:tcW w:w="1346" w:type="dxa"/>
            <w:vAlign w:val="center"/>
          </w:tcPr>
          <w:p w14:paraId="4EE71D8C">
            <w:pPr>
              <w:tabs>
                <w:tab w:val="left" w:pos="1080"/>
              </w:tabs>
              <w:adjustRightInd w:val="0"/>
              <w:snapToGrid w:val="0"/>
              <w:spacing w:line="360" w:lineRule="auto"/>
              <w:jc w:val="both"/>
              <w:rPr>
                <w:rFonts w:hAnsi="宋体" w:cs="Times New Roman"/>
                <w:color w:val="auto"/>
                <w:sz w:val="24"/>
                <w:szCs w:val="24"/>
                <w:highlight w:val="none"/>
              </w:rPr>
            </w:pPr>
          </w:p>
        </w:tc>
      </w:tr>
      <w:tr w14:paraId="39BF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65E37B96">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2</w:t>
            </w:r>
          </w:p>
        </w:tc>
        <w:tc>
          <w:tcPr>
            <w:tcW w:w="6804" w:type="dxa"/>
            <w:gridSpan w:val="2"/>
            <w:vAlign w:val="center"/>
          </w:tcPr>
          <w:p w14:paraId="2638B096">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提供参加本次政府采购活动前3年内在经营活动中没有重大违法记录的书面声明</w:t>
            </w:r>
            <w:r>
              <w:rPr>
                <w:rFonts w:hint="eastAsia" w:hAnsi="宋体" w:cs="Times New Roman"/>
                <w:color w:val="auto"/>
                <w:sz w:val="24"/>
                <w:szCs w:val="24"/>
                <w:highlight w:val="none"/>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1346" w:type="dxa"/>
            <w:vAlign w:val="center"/>
          </w:tcPr>
          <w:p w14:paraId="591D0216">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格式见《投标文件格式》</w:t>
            </w:r>
          </w:p>
        </w:tc>
      </w:tr>
      <w:tr w14:paraId="399FF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54C45C21">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3</w:t>
            </w:r>
          </w:p>
        </w:tc>
        <w:tc>
          <w:tcPr>
            <w:tcW w:w="2268" w:type="dxa"/>
            <w:vAlign w:val="center"/>
          </w:tcPr>
          <w:p w14:paraId="62D3BA58">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落实政府采购政策需满足的资格要求</w:t>
            </w:r>
          </w:p>
        </w:tc>
        <w:tc>
          <w:tcPr>
            <w:tcW w:w="4536" w:type="dxa"/>
            <w:vAlign w:val="center"/>
          </w:tcPr>
          <w:p w14:paraId="7F2A49D3">
            <w:pPr>
              <w:tabs>
                <w:tab w:val="left" w:pos="1080"/>
              </w:tabs>
              <w:adjustRightInd w:val="0"/>
              <w:snapToGrid w:val="0"/>
              <w:spacing w:line="360" w:lineRule="auto"/>
              <w:jc w:val="both"/>
              <w:rPr>
                <w:rFonts w:hAnsi="宋体" w:cs="Times New Roman"/>
                <w:color w:val="auto"/>
                <w:sz w:val="24"/>
                <w:szCs w:val="24"/>
                <w:highlight w:val="none"/>
              </w:rPr>
            </w:pPr>
            <w:r>
              <w:rPr>
                <w:rFonts w:hint="eastAsia" w:hAnsi="宋体"/>
                <w:color w:val="auto"/>
                <w:sz w:val="24"/>
                <w:szCs w:val="24"/>
                <w:highlight w:val="none"/>
              </w:rPr>
              <w:t>/</w:t>
            </w:r>
          </w:p>
        </w:tc>
        <w:tc>
          <w:tcPr>
            <w:tcW w:w="1346" w:type="dxa"/>
            <w:vAlign w:val="center"/>
          </w:tcPr>
          <w:p w14:paraId="128AB876">
            <w:pPr>
              <w:tabs>
                <w:tab w:val="left" w:pos="1080"/>
              </w:tabs>
              <w:adjustRightInd w:val="0"/>
              <w:snapToGrid w:val="0"/>
              <w:spacing w:line="360" w:lineRule="auto"/>
              <w:jc w:val="both"/>
              <w:rPr>
                <w:rFonts w:hAnsi="宋体" w:cs="Times New Roman"/>
                <w:color w:val="auto"/>
                <w:sz w:val="24"/>
                <w:szCs w:val="24"/>
                <w:highlight w:val="none"/>
              </w:rPr>
            </w:pPr>
          </w:p>
        </w:tc>
      </w:tr>
      <w:tr w14:paraId="67BFA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6" w:type="dxa"/>
            <w:vAlign w:val="center"/>
          </w:tcPr>
          <w:p w14:paraId="205649C1">
            <w:pPr>
              <w:tabs>
                <w:tab w:val="left" w:pos="1080"/>
              </w:tabs>
              <w:adjustRightInd w:val="0"/>
              <w:snapToGrid w:val="0"/>
              <w:spacing w:line="360" w:lineRule="auto"/>
              <w:jc w:val="center"/>
              <w:rPr>
                <w:rFonts w:hAnsi="宋体" w:cs="Times New Roman"/>
                <w:color w:val="auto"/>
                <w:sz w:val="24"/>
                <w:szCs w:val="24"/>
                <w:highlight w:val="none"/>
              </w:rPr>
            </w:pPr>
            <w:r>
              <w:rPr>
                <w:rFonts w:hAnsi="宋体" w:cs="Times New Roman"/>
                <w:color w:val="auto"/>
                <w:sz w:val="24"/>
                <w:szCs w:val="24"/>
                <w:highlight w:val="none"/>
              </w:rPr>
              <w:t>4</w:t>
            </w:r>
          </w:p>
        </w:tc>
        <w:tc>
          <w:tcPr>
            <w:tcW w:w="2268" w:type="dxa"/>
            <w:vAlign w:val="center"/>
          </w:tcPr>
          <w:p w14:paraId="6CD66FC3">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本项目的特定资格要求</w:t>
            </w:r>
          </w:p>
        </w:tc>
        <w:tc>
          <w:tcPr>
            <w:tcW w:w="4536" w:type="dxa"/>
            <w:vAlign w:val="center"/>
          </w:tcPr>
          <w:p w14:paraId="02E1E114">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如有，见第一章《招标公告》</w:t>
            </w:r>
          </w:p>
        </w:tc>
        <w:tc>
          <w:tcPr>
            <w:tcW w:w="1346" w:type="dxa"/>
            <w:vAlign w:val="center"/>
          </w:tcPr>
          <w:p w14:paraId="51A233B2">
            <w:pPr>
              <w:tabs>
                <w:tab w:val="left" w:pos="1080"/>
              </w:tabs>
              <w:adjustRightInd w:val="0"/>
              <w:snapToGrid w:val="0"/>
              <w:spacing w:line="360" w:lineRule="auto"/>
              <w:jc w:val="both"/>
              <w:rPr>
                <w:rFonts w:hAnsi="宋体" w:cs="Times New Roman"/>
                <w:color w:val="auto"/>
                <w:sz w:val="24"/>
                <w:szCs w:val="24"/>
                <w:highlight w:val="none"/>
              </w:rPr>
            </w:pPr>
            <w:r>
              <w:rPr>
                <w:rFonts w:hAnsi="宋体" w:cs="Times New Roman"/>
                <w:color w:val="auto"/>
                <w:sz w:val="24"/>
                <w:szCs w:val="24"/>
                <w:highlight w:val="none"/>
              </w:rPr>
              <w:t>提供证明文件</w:t>
            </w:r>
          </w:p>
        </w:tc>
      </w:tr>
    </w:tbl>
    <w:p w14:paraId="3D6DA95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6.1.2 </w:t>
      </w:r>
      <w:r>
        <w:rPr>
          <w:rFonts w:hint="eastAsia" w:hAnsi="宋体"/>
          <w:color w:val="auto"/>
          <w:sz w:val="24"/>
          <w:szCs w:val="24"/>
          <w:highlight w:val="none"/>
        </w:rPr>
        <w:t>关于诚信记录查询：</w:t>
      </w:r>
    </w:p>
    <w:p w14:paraId="5E8FC1B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04680AA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）查询时间：投标文件递交截止时间。</w:t>
      </w:r>
    </w:p>
    <w:p w14:paraId="62939ED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）查询渠道：登录 “信用中国或国家企业信用信息公示系统”系统查询供应商的信用记录。</w:t>
      </w:r>
    </w:p>
    <w:p w14:paraId="16F234C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11DB4CB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）信用记录使用规则：评审小组在对供应商进行资格性审查时，应根据查询结果对供应商的不良信用记录逐项甄别确认。</w:t>
      </w:r>
    </w:p>
    <w:p w14:paraId="1914998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6.1.3 </w:t>
      </w:r>
      <w:r>
        <w:rPr>
          <w:rFonts w:hint="eastAsia" w:hAnsi="宋体"/>
          <w:b w:val="0"/>
          <w:bCs w:val="0"/>
          <w:color w:val="auto"/>
          <w:sz w:val="24"/>
          <w:szCs w:val="24"/>
          <w:highlight w:val="none"/>
        </w:rPr>
        <w:t>符合性检查。依据招标文件的规定，从投标文件的有效性、完整性和对招标文件的响应程度进行审查，以确定是否对招标文件的实质性要求作响应。</w:t>
      </w:r>
    </w:p>
    <w:p w14:paraId="110034D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 </w:t>
      </w:r>
      <w:r>
        <w:rPr>
          <w:rFonts w:hint="eastAsia" w:hAnsi="宋体"/>
          <w:b w:val="0"/>
          <w:bCs w:val="0"/>
          <w:color w:val="auto"/>
          <w:sz w:val="24"/>
          <w:szCs w:val="24"/>
          <w:highlight w:val="none"/>
        </w:rPr>
        <w:t>开标后，评标委员会将审查投标文件是否实质性响应招标文件的要求、内容是否完整、价格构成有无计算错误、文件签署是否齐全等。投标文件属下列情况之一的，评标委员会将按无效投标处理：</w:t>
      </w:r>
    </w:p>
    <w:p w14:paraId="0B920E1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6.2.1 </w:t>
      </w:r>
      <w:r>
        <w:rPr>
          <w:rFonts w:hint="eastAsia" w:hAnsi="宋体"/>
          <w:b w:val="0"/>
          <w:bCs w:val="0"/>
          <w:color w:val="auto"/>
          <w:sz w:val="24"/>
          <w:szCs w:val="24"/>
          <w:highlight w:val="none"/>
        </w:rPr>
        <w:t>不同投标人的投标文件由同一单位或者个人编制；</w:t>
      </w:r>
    </w:p>
    <w:p w14:paraId="448392C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6.2.2 </w:t>
      </w:r>
      <w:r>
        <w:rPr>
          <w:rFonts w:hint="eastAsia" w:hAnsi="宋体"/>
          <w:b w:val="0"/>
          <w:bCs w:val="0"/>
          <w:color w:val="auto"/>
          <w:sz w:val="24"/>
          <w:szCs w:val="24"/>
          <w:highlight w:val="none"/>
        </w:rPr>
        <w:t>不同投标人委托同一单位或者个人办理投标事宜；</w:t>
      </w:r>
    </w:p>
    <w:p w14:paraId="636F808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6.2.3 </w:t>
      </w:r>
      <w:r>
        <w:rPr>
          <w:rFonts w:hint="eastAsia" w:hAnsi="宋体"/>
          <w:b w:val="0"/>
          <w:bCs w:val="0"/>
          <w:color w:val="auto"/>
          <w:sz w:val="24"/>
          <w:szCs w:val="24"/>
          <w:highlight w:val="none"/>
        </w:rPr>
        <w:t>不同投标人的投标文件载明的项目管理成员或者联系人员为同一人；</w:t>
      </w:r>
    </w:p>
    <w:p w14:paraId="7BD4659E">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26.2.4 </w:t>
      </w:r>
      <w:r>
        <w:rPr>
          <w:rFonts w:hint="eastAsia" w:hAnsi="宋体"/>
          <w:b w:val="0"/>
          <w:bCs w:val="0"/>
          <w:color w:val="auto"/>
          <w:sz w:val="24"/>
          <w:szCs w:val="24"/>
          <w:highlight w:val="none"/>
        </w:rPr>
        <w:t>不同投标人的投标文件异常一致或者投标报价呈规律性差异；</w:t>
      </w:r>
    </w:p>
    <w:p w14:paraId="5D59CBA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6.2.5 </w:t>
      </w:r>
      <w:r>
        <w:rPr>
          <w:rFonts w:hint="eastAsia" w:hAnsi="宋体"/>
          <w:b w:val="0"/>
          <w:bCs w:val="0"/>
          <w:color w:val="auto"/>
          <w:sz w:val="24"/>
          <w:szCs w:val="24"/>
          <w:highlight w:val="none"/>
        </w:rPr>
        <w:t>不同投标人的投标文件相互混装。</w:t>
      </w:r>
    </w:p>
    <w:p w14:paraId="649E85A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6.3 </w:t>
      </w:r>
      <w:r>
        <w:rPr>
          <w:rFonts w:hint="eastAsia" w:hAnsi="宋体"/>
          <w:b w:val="0"/>
          <w:bCs w:val="0"/>
          <w:color w:val="auto"/>
          <w:sz w:val="24"/>
          <w:szCs w:val="24"/>
          <w:highlight w:val="none"/>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57BF35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6.4 </w:t>
      </w:r>
      <w:r>
        <w:rPr>
          <w:rFonts w:hint="eastAsia" w:hAnsi="宋体"/>
          <w:b w:val="0"/>
          <w:bCs w:val="0"/>
          <w:color w:val="auto"/>
          <w:sz w:val="24"/>
          <w:szCs w:val="24"/>
          <w:highlight w:val="none"/>
        </w:rPr>
        <w:t>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93BF16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6.5 </w:t>
      </w:r>
      <w:r>
        <w:rPr>
          <w:rFonts w:hint="eastAsia" w:hAnsi="宋体"/>
          <w:b w:val="0"/>
          <w:bCs w:val="0"/>
          <w:color w:val="auto"/>
          <w:sz w:val="24"/>
          <w:szCs w:val="24"/>
          <w:highlight w:val="none"/>
        </w:rPr>
        <w:t>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5661D7F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 </w:t>
      </w:r>
      <w:r>
        <w:rPr>
          <w:rFonts w:hint="eastAsia" w:hAnsi="宋体"/>
          <w:b w:val="0"/>
          <w:bCs w:val="0"/>
          <w:color w:val="auto"/>
          <w:sz w:val="24"/>
          <w:szCs w:val="24"/>
          <w:highlight w:val="none"/>
        </w:rPr>
        <w:t>评委会将对确定为实质性响应的投标进行审核，看其是否有计算上或累加上的算术错误，修正错误的原则如下：</w:t>
      </w:r>
    </w:p>
    <w:p w14:paraId="1C1A5EE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6.6.1 </w:t>
      </w:r>
      <w:r>
        <w:rPr>
          <w:rFonts w:hint="eastAsia" w:hAnsi="宋体"/>
          <w:b w:val="0"/>
          <w:bCs w:val="0"/>
          <w:color w:val="auto"/>
          <w:sz w:val="24"/>
          <w:szCs w:val="24"/>
          <w:highlight w:val="none"/>
        </w:rPr>
        <w:t>投标文件中开标一览表（报价表）内容与投标文件中相应内容不一致的，以开标一览表（报价表）为准；</w:t>
      </w:r>
    </w:p>
    <w:p w14:paraId="40955FD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6.6.2 </w:t>
      </w:r>
      <w:r>
        <w:rPr>
          <w:rFonts w:hint="eastAsia" w:hAnsi="宋体"/>
          <w:b w:val="0"/>
          <w:bCs w:val="0"/>
          <w:color w:val="auto"/>
          <w:sz w:val="24"/>
          <w:szCs w:val="24"/>
          <w:highlight w:val="none"/>
        </w:rPr>
        <w:t>大写金额和小写金额不一致的，以大写金额为准；</w:t>
      </w:r>
    </w:p>
    <w:p w14:paraId="67A156D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6.6.3 </w:t>
      </w:r>
      <w:r>
        <w:rPr>
          <w:rFonts w:hint="eastAsia" w:hAnsi="宋体"/>
          <w:b w:val="0"/>
          <w:bCs w:val="0"/>
          <w:color w:val="auto"/>
          <w:sz w:val="24"/>
          <w:szCs w:val="24"/>
          <w:highlight w:val="none"/>
        </w:rPr>
        <w:t>单价金额小数点或者百分比有明显错位的，以开标一览表的总价为准，并修改单价；</w:t>
      </w:r>
    </w:p>
    <w:p w14:paraId="24161B3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6.6.4 </w:t>
      </w:r>
      <w:r>
        <w:rPr>
          <w:rFonts w:hint="eastAsia" w:hAnsi="宋体"/>
          <w:b w:val="0"/>
          <w:bCs w:val="0"/>
          <w:color w:val="auto"/>
          <w:sz w:val="24"/>
          <w:szCs w:val="24"/>
          <w:highlight w:val="none"/>
        </w:rPr>
        <w:t>总价金额与按单价汇总金额不一致的，以单价金额计算结果为准。</w:t>
      </w:r>
    </w:p>
    <w:p w14:paraId="54F4709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同时出现两种以上不一致的，按照前款规定的顺序修正。修正后的报价按照本须知</w:t>
      </w:r>
      <w:r>
        <w:rPr>
          <w:rFonts w:hAnsi="宋体"/>
          <w:b w:val="0"/>
          <w:bCs w:val="0"/>
          <w:color w:val="auto"/>
          <w:sz w:val="24"/>
          <w:szCs w:val="24"/>
          <w:highlight w:val="none"/>
        </w:rPr>
        <w:t xml:space="preserve"> 26.6 </w:t>
      </w:r>
      <w:r>
        <w:rPr>
          <w:rFonts w:hint="eastAsia" w:hAnsi="宋体"/>
          <w:b w:val="0"/>
          <w:bCs w:val="0"/>
          <w:color w:val="auto"/>
          <w:sz w:val="24"/>
          <w:szCs w:val="24"/>
          <w:highlight w:val="none"/>
        </w:rPr>
        <w:t>条规定经投标人确认后产生约束力，投标人不确认的，其投标无效。</w:t>
      </w:r>
    </w:p>
    <w:p w14:paraId="15B238E0">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26.7根据财库〔2026〕2号关于推动解决政府采购异常低价问题的通知。</w:t>
      </w:r>
    </w:p>
    <w:p w14:paraId="6D5ACFA1">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26.7.1政府采购评审中出现下列情形之一的，评审委员会应当启动异常低价投标（响应）审查程序：</w:t>
      </w:r>
    </w:p>
    <w:p w14:paraId="561BF56A">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（1）投标（响应）报价低于全部通过符合性审查供应商投标（响应）报价平均值65%的，即投标（响应）报价&lt;全部通过符合性审查供应商投标（响应）报价平均值×65%；</w:t>
      </w:r>
    </w:p>
    <w:p w14:paraId="1B36D283">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（2）投标（响应）报价低于通过符合性审查的次低报价供应商投标（响应）报价65%的，即投标（响应）报价&lt;通过符合性审查的次低报价供应商投标（响应）报价×65%；</w:t>
      </w:r>
    </w:p>
    <w:p w14:paraId="32FBC7E2">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（3）投标（响应）报价低于采购项目最高限价65%的，即投标（响应）报价&lt;采购项目最高限价×65%；</w:t>
      </w:r>
    </w:p>
    <w:p w14:paraId="7C353BB3">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（4）评审委员会基于专业判断，认为供应商报价过低，有可能影响产品质量或者不能诚信履约的其他情形。</w:t>
      </w:r>
    </w:p>
    <w:p w14:paraId="57F329D5">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14:paraId="778BD0F0">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18CE0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6.8 </w:t>
      </w:r>
      <w:r>
        <w:rPr>
          <w:rFonts w:hint="eastAsia" w:hAnsi="宋体"/>
          <w:b w:val="0"/>
          <w:bCs w:val="0"/>
          <w:color w:val="auto"/>
          <w:sz w:val="24"/>
          <w:szCs w:val="24"/>
          <w:highlight w:val="none"/>
        </w:rPr>
        <w:t>对不同文字文本投标文件的解释发生异议的，以中文文本为准；</w:t>
      </w:r>
    </w:p>
    <w:p w14:paraId="431F5C2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6.9 </w:t>
      </w:r>
      <w:r>
        <w:rPr>
          <w:rFonts w:hint="eastAsia" w:hAnsi="宋体"/>
          <w:b w:val="0"/>
          <w:bCs w:val="0"/>
          <w:color w:val="auto"/>
          <w:sz w:val="24"/>
          <w:szCs w:val="24"/>
          <w:highlight w:val="none"/>
        </w:rPr>
        <w:t>评标委员会对投标文件的判定，只依据投标内容本身，不依靠开标后的任何外来证明。</w:t>
      </w:r>
    </w:p>
    <w:p w14:paraId="77299A94">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26.10 </w:t>
      </w:r>
      <w:r>
        <w:rPr>
          <w:rFonts w:hint="eastAsia" w:hAnsi="宋体"/>
          <w:b w:val="0"/>
          <w:bCs w:val="0"/>
          <w:color w:val="auto"/>
          <w:sz w:val="24"/>
          <w:szCs w:val="24"/>
          <w:highlight w:val="none"/>
        </w:rPr>
        <w:t>评标委员会将拒绝被确定为非实质性响应的投标，投标人不能通过修正或撤销不符之处而使其投标成为实质性响应的投标。</w:t>
      </w:r>
    </w:p>
    <w:p w14:paraId="1974AE65">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27</w:t>
      </w:r>
      <w:r>
        <w:rPr>
          <w:rFonts w:hint="eastAsia" w:hAnsi="宋体"/>
          <w:color w:val="auto"/>
          <w:sz w:val="24"/>
          <w:szCs w:val="24"/>
          <w:highlight w:val="none"/>
        </w:rPr>
        <w:t>、投标的澄清</w:t>
      </w:r>
    </w:p>
    <w:p w14:paraId="2174BCBF">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27.1 </w:t>
      </w:r>
      <w:r>
        <w:rPr>
          <w:rFonts w:hint="eastAsia" w:hAnsi="宋体"/>
          <w:b w:val="0"/>
          <w:bCs w:val="0"/>
          <w:color w:val="auto"/>
          <w:sz w:val="24"/>
          <w:szCs w:val="24"/>
          <w:highlight w:val="none"/>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7DDA4B64">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28</w:t>
      </w:r>
      <w:r>
        <w:rPr>
          <w:rFonts w:hint="eastAsia" w:hAnsi="宋体"/>
          <w:color w:val="auto"/>
          <w:sz w:val="24"/>
          <w:szCs w:val="24"/>
          <w:highlight w:val="none"/>
        </w:rPr>
        <w:t>、废标</w:t>
      </w:r>
    </w:p>
    <w:p w14:paraId="6F274FA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 </w:t>
      </w:r>
      <w:r>
        <w:rPr>
          <w:rFonts w:hint="eastAsia" w:hAnsi="宋体"/>
          <w:b w:val="0"/>
          <w:bCs w:val="0"/>
          <w:color w:val="auto"/>
          <w:sz w:val="24"/>
          <w:szCs w:val="24"/>
          <w:highlight w:val="none"/>
        </w:rPr>
        <w:t>无效投标的具体情形有：</w:t>
      </w:r>
    </w:p>
    <w:p w14:paraId="2686DC2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8.1.1 </w:t>
      </w:r>
      <w:r>
        <w:rPr>
          <w:rFonts w:hint="eastAsia" w:hAnsi="宋体"/>
          <w:b w:val="0"/>
          <w:bCs w:val="0"/>
          <w:color w:val="auto"/>
          <w:sz w:val="24"/>
          <w:szCs w:val="24"/>
          <w:highlight w:val="none"/>
        </w:rPr>
        <w:t>不同投标人的投标文件使用同一台电脑编制的；</w:t>
      </w:r>
    </w:p>
    <w:p w14:paraId="75229CD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8.1.2 </w:t>
      </w:r>
      <w:r>
        <w:rPr>
          <w:rFonts w:hint="eastAsia" w:hAnsi="宋体"/>
          <w:b w:val="0"/>
          <w:bCs w:val="0"/>
          <w:color w:val="auto"/>
          <w:sz w:val="24"/>
          <w:szCs w:val="24"/>
          <w:highlight w:val="none"/>
        </w:rPr>
        <w:t>投标文件未按招标文件要求签署、盖章的；</w:t>
      </w:r>
    </w:p>
    <w:p w14:paraId="071594DE">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28.1.3 </w:t>
      </w:r>
      <w:r>
        <w:rPr>
          <w:rFonts w:hint="eastAsia" w:hAnsi="宋体"/>
          <w:b w:val="0"/>
          <w:bCs w:val="0"/>
          <w:color w:val="auto"/>
          <w:sz w:val="24"/>
          <w:szCs w:val="24"/>
          <w:highlight w:val="none"/>
        </w:rPr>
        <w:t>不具备招标文件中规定的资格要求的；</w:t>
      </w:r>
    </w:p>
    <w:p w14:paraId="02EEC2E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8.1.4 </w:t>
      </w:r>
      <w:r>
        <w:rPr>
          <w:rFonts w:hint="eastAsia" w:hAnsi="宋体"/>
          <w:b w:val="0"/>
          <w:bCs w:val="0"/>
          <w:color w:val="auto"/>
          <w:sz w:val="24"/>
          <w:szCs w:val="24"/>
          <w:highlight w:val="none"/>
        </w:rPr>
        <w:t>报价超过招标文件中规定的预算金额或者最高限价的；</w:t>
      </w:r>
    </w:p>
    <w:p w14:paraId="28DA8FC2">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8.1.5 </w:t>
      </w:r>
      <w:r>
        <w:rPr>
          <w:rFonts w:hint="eastAsia" w:hAnsi="宋体"/>
          <w:b w:val="0"/>
          <w:bCs w:val="0"/>
          <w:color w:val="auto"/>
          <w:sz w:val="24"/>
          <w:szCs w:val="24"/>
          <w:highlight w:val="none"/>
        </w:rPr>
        <w:t>投标文件含有采购人不能接受的附加条件的；</w:t>
      </w:r>
    </w:p>
    <w:p w14:paraId="31B4827A">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28.1.6 </w:t>
      </w:r>
      <w:r>
        <w:rPr>
          <w:rFonts w:hint="eastAsia" w:hAnsi="宋体"/>
          <w:b w:val="0"/>
          <w:bCs w:val="0"/>
          <w:color w:val="auto"/>
          <w:sz w:val="24"/>
          <w:szCs w:val="24"/>
          <w:highlight w:val="none"/>
        </w:rPr>
        <w:t>法律、法规和招标文件规定的其他无效情形。</w:t>
      </w:r>
    </w:p>
    <w:p w14:paraId="4BC4423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 </w:t>
      </w:r>
      <w:r>
        <w:rPr>
          <w:rFonts w:hint="eastAsia" w:hAnsi="宋体"/>
          <w:b w:val="0"/>
          <w:bCs w:val="0"/>
          <w:color w:val="auto"/>
          <w:sz w:val="24"/>
          <w:szCs w:val="24"/>
          <w:highlight w:val="none"/>
        </w:rPr>
        <w:t>在招标采购中，出现下列情形之一的，应予废标：</w:t>
      </w:r>
    </w:p>
    <w:p w14:paraId="41373AA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2</w:t>
      </w:r>
      <w:r>
        <w:rPr>
          <w:rFonts w:hAnsi="宋体"/>
          <w:b w:val="0"/>
          <w:bCs w:val="0"/>
          <w:color w:val="auto"/>
          <w:sz w:val="24"/>
          <w:szCs w:val="24"/>
          <w:highlight w:val="none"/>
        </w:rPr>
        <w:t xml:space="preserve">8.2.1 </w:t>
      </w:r>
      <w:r>
        <w:rPr>
          <w:rFonts w:hint="eastAsia" w:hAnsi="宋体"/>
          <w:b w:val="0"/>
          <w:bCs w:val="0"/>
          <w:color w:val="auto"/>
          <w:sz w:val="24"/>
          <w:szCs w:val="24"/>
          <w:highlight w:val="none"/>
        </w:rPr>
        <w:t>符合专业条件的供应商或者对招标文件作实质响应的供应商不足三家的；</w:t>
      </w:r>
    </w:p>
    <w:p w14:paraId="3E910764">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28.2.2 </w:t>
      </w:r>
      <w:r>
        <w:rPr>
          <w:rFonts w:hint="eastAsia" w:hAnsi="宋体"/>
          <w:b w:val="0"/>
          <w:bCs w:val="0"/>
          <w:color w:val="auto"/>
          <w:sz w:val="24"/>
          <w:szCs w:val="24"/>
          <w:highlight w:val="none"/>
        </w:rPr>
        <w:t>出现影响采购公正的违法、违规行为的；</w:t>
      </w:r>
    </w:p>
    <w:p w14:paraId="395786C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28.2.3 </w:t>
      </w:r>
      <w:r>
        <w:rPr>
          <w:rFonts w:hint="eastAsia" w:hAnsi="宋体"/>
          <w:b w:val="0"/>
          <w:bCs w:val="0"/>
          <w:color w:val="auto"/>
          <w:sz w:val="24"/>
          <w:szCs w:val="24"/>
          <w:highlight w:val="none"/>
        </w:rPr>
        <w:t>投标人的报价均超过了采购预算，采购人不能支付的；</w:t>
      </w:r>
    </w:p>
    <w:p w14:paraId="63FAE420">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28.2.4 </w:t>
      </w:r>
      <w:r>
        <w:rPr>
          <w:rFonts w:hint="eastAsia" w:hAnsi="宋体"/>
          <w:b w:val="0"/>
          <w:bCs w:val="0"/>
          <w:color w:val="auto"/>
          <w:sz w:val="24"/>
          <w:szCs w:val="24"/>
          <w:highlight w:val="none"/>
        </w:rPr>
        <w:t>因重大变故，采购任务取消的。</w:t>
      </w:r>
    </w:p>
    <w:p w14:paraId="78593C15">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28.3 </w:t>
      </w:r>
      <w:r>
        <w:rPr>
          <w:rFonts w:hint="eastAsia" w:hAnsi="宋体"/>
          <w:b w:val="0"/>
          <w:bCs w:val="0"/>
          <w:color w:val="auto"/>
          <w:sz w:val="24"/>
          <w:szCs w:val="24"/>
          <w:highlight w:val="none"/>
        </w:rPr>
        <w:t>废标后，采购人应当将废标理由通知所有投标人。</w:t>
      </w:r>
    </w:p>
    <w:p w14:paraId="4EBA9C86">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29</w:t>
      </w:r>
      <w:r>
        <w:rPr>
          <w:rFonts w:hint="eastAsia" w:hAnsi="宋体"/>
          <w:color w:val="auto"/>
          <w:sz w:val="24"/>
          <w:szCs w:val="24"/>
          <w:highlight w:val="none"/>
        </w:rPr>
        <w:t>、投标文件的评价和比较</w:t>
      </w:r>
    </w:p>
    <w:p w14:paraId="5CEBEE28">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29.1 </w:t>
      </w:r>
      <w:r>
        <w:rPr>
          <w:rFonts w:hint="eastAsia" w:hAnsi="宋体"/>
          <w:b w:val="0"/>
          <w:bCs w:val="0"/>
          <w:color w:val="auto"/>
          <w:sz w:val="24"/>
          <w:szCs w:val="24"/>
          <w:highlight w:val="none"/>
        </w:rPr>
        <w:t>评标委员会按招标文件规定的评标方法和标准，仅对资格性检查和符合性检查合格的投标文件进行商务和技术评估，综合比较与评价。</w:t>
      </w:r>
    </w:p>
    <w:p w14:paraId="773988AF">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 </w:t>
      </w:r>
      <w:r>
        <w:rPr>
          <w:rFonts w:hint="eastAsia" w:hAnsi="宋体"/>
          <w:b w:val="0"/>
          <w:bCs w:val="0"/>
          <w:color w:val="auto"/>
          <w:sz w:val="24"/>
          <w:szCs w:val="24"/>
          <w:highlight w:val="none"/>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20F880F9">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29.2.1 </w:t>
      </w:r>
      <w:r>
        <w:rPr>
          <w:rFonts w:hint="eastAsia" w:hAnsi="宋体"/>
          <w:b w:val="0"/>
          <w:bCs w:val="0"/>
          <w:color w:val="auto"/>
          <w:sz w:val="24"/>
          <w:szCs w:val="24"/>
          <w:highlight w:val="none"/>
        </w:rPr>
        <w:t>服务的质量保证（保障）内容；</w:t>
      </w:r>
    </w:p>
    <w:p w14:paraId="08D6AABE">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29.2.2 </w:t>
      </w:r>
      <w:r>
        <w:rPr>
          <w:rFonts w:hint="eastAsia" w:hAnsi="宋体"/>
          <w:b w:val="0"/>
          <w:bCs w:val="0"/>
          <w:color w:val="auto"/>
          <w:sz w:val="24"/>
          <w:szCs w:val="24"/>
          <w:highlight w:val="none"/>
        </w:rPr>
        <w:t>服务配备的人员；</w:t>
      </w:r>
    </w:p>
    <w:p w14:paraId="58334A20">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29.2.3 </w:t>
      </w:r>
      <w:r>
        <w:rPr>
          <w:rFonts w:hint="eastAsia" w:hAnsi="宋体"/>
          <w:b w:val="0"/>
          <w:bCs w:val="0"/>
          <w:color w:val="auto"/>
          <w:sz w:val="24"/>
          <w:szCs w:val="24"/>
          <w:highlight w:val="none"/>
        </w:rPr>
        <w:t>投标者的资信情况和履约能力；</w:t>
      </w:r>
    </w:p>
    <w:p w14:paraId="4D5C713D">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29.2.4 </w:t>
      </w:r>
      <w:r>
        <w:rPr>
          <w:rFonts w:hint="eastAsia" w:hAnsi="宋体"/>
          <w:b w:val="0"/>
          <w:bCs w:val="0"/>
          <w:color w:val="auto"/>
          <w:sz w:val="24"/>
          <w:szCs w:val="24"/>
          <w:highlight w:val="none"/>
        </w:rPr>
        <w:t>投标者提供的其他优惠条件；</w:t>
      </w:r>
    </w:p>
    <w:p w14:paraId="27764B02">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29.2.5 </w:t>
      </w:r>
      <w:r>
        <w:rPr>
          <w:rFonts w:hint="eastAsia" w:hAnsi="宋体"/>
          <w:b w:val="0"/>
          <w:bCs w:val="0"/>
          <w:color w:val="auto"/>
          <w:sz w:val="24"/>
          <w:szCs w:val="24"/>
          <w:highlight w:val="none"/>
        </w:rPr>
        <w:t>参与本项目政府采购工作的态度及信誉；</w:t>
      </w:r>
    </w:p>
    <w:p w14:paraId="2F08BFD2">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29.2.6 </w:t>
      </w:r>
      <w:r>
        <w:rPr>
          <w:rFonts w:hint="eastAsia" w:hAnsi="宋体"/>
          <w:b w:val="0"/>
          <w:bCs w:val="0"/>
          <w:color w:val="auto"/>
          <w:sz w:val="24"/>
          <w:szCs w:val="24"/>
          <w:highlight w:val="none"/>
        </w:rPr>
        <w:t>最低的投标报价或最高的折扣比例是中标的重要条件，但不是唯一条件。</w:t>
      </w:r>
    </w:p>
    <w:p w14:paraId="3B653CFE">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七、签订合同</w:t>
      </w:r>
    </w:p>
    <w:p w14:paraId="761B2CE0">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30</w:t>
      </w:r>
      <w:r>
        <w:rPr>
          <w:rFonts w:hint="eastAsia" w:hAnsi="宋体"/>
          <w:color w:val="auto"/>
          <w:sz w:val="24"/>
          <w:szCs w:val="24"/>
          <w:highlight w:val="none"/>
        </w:rPr>
        <w:t>、中标单位的确认</w:t>
      </w:r>
    </w:p>
    <w:p w14:paraId="3FE798E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0.1 </w:t>
      </w:r>
      <w:r>
        <w:rPr>
          <w:rFonts w:hint="eastAsia" w:hAnsi="宋体"/>
          <w:b w:val="0"/>
          <w:bCs w:val="0"/>
          <w:color w:val="auto"/>
          <w:sz w:val="24"/>
          <w:szCs w:val="24"/>
          <w:highlight w:val="none"/>
        </w:rPr>
        <w:t>评标委员会按招标文件规定的评标方法和标准进行详细评审后，按采购代理机构的委托向采购代理机构推荐中标候选单位或根据采购人授权直接确定中标供应商。</w:t>
      </w:r>
    </w:p>
    <w:p w14:paraId="4ABF1E1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0.2 </w:t>
      </w:r>
      <w:r>
        <w:rPr>
          <w:rFonts w:hint="eastAsia" w:hAnsi="宋体"/>
          <w:b w:val="0"/>
          <w:bCs w:val="0"/>
          <w:color w:val="auto"/>
          <w:sz w:val="24"/>
          <w:szCs w:val="24"/>
          <w:highlight w:val="none"/>
        </w:rPr>
        <w:t>经评标委员会评审并确定中标供应商后，采购代理机构将在规定的时间内将中标结果在相关媒体上予以公告。</w:t>
      </w:r>
    </w:p>
    <w:p w14:paraId="039B235E">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30.3 </w:t>
      </w:r>
      <w:r>
        <w:rPr>
          <w:rFonts w:hint="eastAsia" w:hAnsi="宋体"/>
          <w:b w:val="0"/>
          <w:bCs w:val="0"/>
          <w:color w:val="auto"/>
          <w:sz w:val="24"/>
          <w:szCs w:val="24"/>
          <w:highlight w:val="none"/>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3A530CF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0.4 </w:t>
      </w:r>
      <w:r>
        <w:rPr>
          <w:rFonts w:hint="eastAsia" w:hAnsi="宋体"/>
          <w:b w:val="0"/>
          <w:bCs w:val="0"/>
          <w:color w:val="auto"/>
          <w:sz w:val="24"/>
          <w:szCs w:val="24"/>
          <w:highlight w:val="none"/>
        </w:rPr>
        <w:t>质疑函递交地点及联系方式详见</w:t>
      </w:r>
      <w:r>
        <w:rPr>
          <w:rFonts w:hAnsi="宋体"/>
          <w:b w:val="0"/>
          <w:bCs w:val="0"/>
          <w:color w:val="auto"/>
          <w:sz w:val="24"/>
          <w:szCs w:val="24"/>
          <w:highlight w:val="none"/>
        </w:rPr>
        <w:t xml:space="preserve"> 37.3 </w:t>
      </w:r>
      <w:r>
        <w:rPr>
          <w:rFonts w:hint="eastAsia" w:hAnsi="宋体"/>
          <w:b w:val="0"/>
          <w:bCs w:val="0"/>
          <w:color w:val="auto"/>
          <w:sz w:val="24"/>
          <w:szCs w:val="24"/>
          <w:highlight w:val="none"/>
        </w:rPr>
        <w:t>质疑函接收单位信息。</w:t>
      </w:r>
    </w:p>
    <w:p w14:paraId="6CC4C0D3">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31</w:t>
      </w:r>
      <w:r>
        <w:rPr>
          <w:rFonts w:hint="eastAsia" w:hAnsi="宋体"/>
          <w:color w:val="auto"/>
          <w:sz w:val="24"/>
          <w:szCs w:val="24"/>
          <w:highlight w:val="none"/>
        </w:rPr>
        <w:t>、合同授予</w:t>
      </w:r>
    </w:p>
    <w:p w14:paraId="0E8E4A4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1.1 </w:t>
      </w:r>
      <w:r>
        <w:rPr>
          <w:rFonts w:hint="eastAsia" w:hAnsi="宋体"/>
          <w:b w:val="0"/>
          <w:bCs w:val="0"/>
          <w:color w:val="auto"/>
          <w:sz w:val="24"/>
          <w:szCs w:val="24"/>
          <w:highlight w:val="none"/>
        </w:rPr>
        <w:t>采购人将把合同授予其投标文件在实质上响应招标文件要求和按本须知规定评选出的投标人。确定为中标的投标人必须具有实施本合同的能力和资源。</w:t>
      </w:r>
    </w:p>
    <w:p w14:paraId="43D296B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1.2 </w:t>
      </w:r>
      <w:r>
        <w:rPr>
          <w:rFonts w:hint="eastAsia" w:hAnsi="宋体"/>
          <w:b w:val="0"/>
          <w:bCs w:val="0"/>
          <w:color w:val="auto"/>
          <w:sz w:val="24"/>
          <w:szCs w:val="24"/>
          <w:highlight w:val="none"/>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449D71B0">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32</w:t>
      </w:r>
      <w:r>
        <w:rPr>
          <w:rFonts w:hint="eastAsia" w:hAnsi="宋体"/>
          <w:color w:val="auto"/>
          <w:sz w:val="24"/>
          <w:szCs w:val="24"/>
          <w:highlight w:val="none"/>
        </w:rPr>
        <w:t>、中标通知书</w:t>
      </w:r>
    </w:p>
    <w:p w14:paraId="75C088A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2.1 </w:t>
      </w:r>
      <w:r>
        <w:rPr>
          <w:rFonts w:hint="eastAsia" w:hAnsi="宋体"/>
          <w:b w:val="0"/>
          <w:bCs w:val="0"/>
          <w:color w:val="auto"/>
          <w:sz w:val="24"/>
          <w:szCs w:val="24"/>
          <w:highlight w:val="none"/>
        </w:rPr>
        <w:t>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6C61AA44">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 xml:space="preserve">2.2 </w:t>
      </w:r>
      <w:r>
        <w:rPr>
          <w:rFonts w:hint="eastAsia" w:hAnsi="宋体"/>
          <w:color w:val="auto"/>
          <w:sz w:val="24"/>
          <w:szCs w:val="24"/>
          <w:highlight w:val="none"/>
        </w:rPr>
        <w:t>中标通知书在中标公告发布后将发布在业务系统中，中标通知书发布之日视为中标供应商领取之日，中标供应商自行在业务系统中下载打印。</w:t>
      </w:r>
    </w:p>
    <w:p w14:paraId="3BB6FB3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2.3 </w:t>
      </w:r>
      <w:r>
        <w:rPr>
          <w:rFonts w:hint="eastAsia" w:hAnsi="宋体"/>
          <w:b w:val="0"/>
          <w:bCs w:val="0"/>
          <w:color w:val="auto"/>
          <w:sz w:val="24"/>
          <w:szCs w:val="24"/>
          <w:highlight w:val="none"/>
        </w:rPr>
        <w:t>中标通知书将成为合同的组成部分。</w:t>
      </w:r>
    </w:p>
    <w:p w14:paraId="1147540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2.4 </w:t>
      </w:r>
      <w:r>
        <w:rPr>
          <w:rFonts w:hint="eastAsia" w:hAnsi="宋体"/>
          <w:b w:val="0"/>
          <w:bCs w:val="0"/>
          <w:color w:val="auto"/>
          <w:sz w:val="24"/>
          <w:szCs w:val="24"/>
          <w:highlight w:val="none"/>
        </w:rPr>
        <w:t>采购代理机构对未中标供应商不承担解释未中标原因的义务。</w:t>
      </w:r>
    </w:p>
    <w:p w14:paraId="3C2BE7F8">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33</w:t>
      </w:r>
      <w:r>
        <w:rPr>
          <w:rFonts w:hint="eastAsia" w:hAnsi="宋体"/>
          <w:color w:val="auto"/>
          <w:sz w:val="24"/>
          <w:szCs w:val="24"/>
          <w:highlight w:val="none"/>
        </w:rPr>
        <w:t>、履约保证金</w:t>
      </w:r>
    </w:p>
    <w:p w14:paraId="501B391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3.1 </w:t>
      </w:r>
      <w:r>
        <w:rPr>
          <w:rFonts w:hint="eastAsia" w:hAnsi="宋体"/>
          <w:b w:val="0"/>
          <w:bCs w:val="0"/>
          <w:color w:val="auto"/>
          <w:sz w:val="24"/>
          <w:szCs w:val="24"/>
          <w:highlight w:val="none"/>
        </w:rPr>
        <w:t>中标供应商按合同约定的要求提交履约保证金。</w:t>
      </w:r>
    </w:p>
    <w:p w14:paraId="5A62EE29">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3.2 </w:t>
      </w:r>
      <w:r>
        <w:rPr>
          <w:rFonts w:hint="eastAsia" w:hAnsi="宋体"/>
          <w:b w:val="0"/>
          <w:bCs w:val="0"/>
          <w:color w:val="auto"/>
          <w:sz w:val="24"/>
          <w:szCs w:val="24"/>
          <w:highlight w:val="none"/>
        </w:rPr>
        <w:t>履约保证金用以约束供应商在合同履行中的行为，弥补合同执行中由于自身行为可能给采购人带来的各种损失。</w:t>
      </w:r>
    </w:p>
    <w:p w14:paraId="607D0AD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3.3 </w:t>
      </w:r>
      <w:r>
        <w:rPr>
          <w:rFonts w:hint="eastAsia" w:hAnsi="宋体"/>
          <w:b w:val="0"/>
          <w:bCs w:val="0"/>
          <w:color w:val="auto"/>
          <w:sz w:val="24"/>
          <w:szCs w:val="24"/>
          <w:highlight w:val="none"/>
        </w:rPr>
        <w:t>履约保证金（无息）将在中标供应商合同履行完毕后，采购人在五个工作日内退还中标供应商。</w:t>
      </w:r>
    </w:p>
    <w:p w14:paraId="5306AECC">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34</w:t>
      </w:r>
      <w:r>
        <w:rPr>
          <w:rFonts w:hint="eastAsia" w:hAnsi="宋体"/>
          <w:color w:val="auto"/>
          <w:sz w:val="24"/>
          <w:szCs w:val="24"/>
          <w:highlight w:val="none"/>
        </w:rPr>
        <w:t>、合同的签订</w:t>
      </w:r>
    </w:p>
    <w:p w14:paraId="3A7714E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4.1 </w:t>
      </w:r>
      <w:r>
        <w:rPr>
          <w:rFonts w:hint="eastAsia" w:hAnsi="宋体"/>
          <w:b w:val="0"/>
          <w:bCs w:val="0"/>
          <w:color w:val="auto"/>
          <w:sz w:val="24"/>
          <w:szCs w:val="24"/>
          <w:highlight w:val="none"/>
        </w:rPr>
        <w:t>中标供应商应按中标通知书中规定的时间和地点，按照招标文件确定的事项由法定代表人或代理人与采购人代表签订合同，且不得迟于中标通知书发出之日起三十日内，否则按放弃中标权处理。</w:t>
      </w:r>
    </w:p>
    <w:p w14:paraId="5A1D140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4.2 </w:t>
      </w:r>
      <w:r>
        <w:rPr>
          <w:rFonts w:hint="eastAsia" w:hAnsi="宋体"/>
          <w:b w:val="0"/>
          <w:bCs w:val="0"/>
          <w:color w:val="auto"/>
          <w:sz w:val="24"/>
          <w:szCs w:val="24"/>
          <w:highlight w:val="none"/>
        </w:rPr>
        <w:t>签订合同及合同条款应以招标文件和中标供应商的投标文件及其澄清文件为依据。</w:t>
      </w:r>
    </w:p>
    <w:p w14:paraId="070D3CE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4.3 </w:t>
      </w:r>
      <w:r>
        <w:rPr>
          <w:rFonts w:hint="eastAsia" w:hAnsi="宋体"/>
          <w:b w:val="0"/>
          <w:bCs w:val="0"/>
          <w:color w:val="auto"/>
          <w:sz w:val="24"/>
          <w:szCs w:val="24"/>
          <w:highlight w:val="none"/>
        </w:rPr>
        <w:t>中标人无正当理由拒签合同的，或在签订合同时向采购人提出附加条件或者更改合同实质性内容的，采购人可取消其中标资格，同时由中标人承担相应的法律责任。</w:t>
      </w:r>
    </w:p>
    <w:p w14:paraId="107BB4F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4.4 </w:t>
      </w:r>
      <w:r>
        <w:rPr>
          <w:rFonts w:hint="eastAsia" w:hAnsi="宋体"/>
          <w:b w:val="0"/>
          <w:bCs w:val="0"/>
          <w:color w:val="auto"/>
          <w:sz w:val="24"/>
          <w:szCs w:val="24"/>
          <w:highlight w:val="none"/>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476B9686">
      <w:pPr>
        <w:pStyle w:val="7"/>
        <w:spacing w:line="360" w:lineRule="auto"/>
        <w:ind w:left="0" w:firstLine="420"/>
        <w:jc w:val="both"/>
        <w:rPr>
          <w:rFonts w:hAnsi="宋体"/>
          <w:color w:val="auto"/>
          <w:sz w:val="24"/>
          <w:szCs w:val="24"/>
          <w:highlight w:val="none"/>
        </w:rPr>
      </w:pPr>
      <w:r>
        <w:rPr>
          <w:rFonts w:hint="eastAsia" w:hAnsi="宋体"/>
          <w:color w:val="auto"/>
          <w:sz w:val="24"/>
          <w:szCs w:val="24"/>
          <w:highlight w:val="none"/>
        </w:rPr>
        <w:t>八、质疑与投诉</w:t>
      </w:r>
    </w:p>
    <w:p w14:paraId="64B63A53">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35</w:t>
      </w:r>
      <w:r>
        <w:rPr>
          <w:rFonts w:hint="eastAsia" w:hAnsi="宋体"/>
          <w:color w:val="auto"/>
          <w:sz w:val="24"/>
          <w:szCs w:val="24"/>
          <w:highlight w:val="none"/>
        </w:rPr>
        <w:t>、</w:t>
      </w:r>
      <w:r>
        <w:rPr>
          <w:rFonts w:hint="eastAsia" w:hAnsi="宋体"/>
          <w:b w:val="0"/>
          <w:bCs w:val="0"/>
          <w:color w:val="auto"/>
          <w:sz w:val="24"/>
          <w:szCs w:val="24"/>
          <w:highlight w:val="none"/>
        </w:rPr>
        <w:t>质疑的提出和答复、投诉的提起和处理须按《政府采购质疑和投诉办法》（中华人民共和国财政部令第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号）相关规定执行。</w:t>
      </w:r>
    </w:p>
    <w:p w14:paraId="53D5B953">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36</w:t>
      </w:r>
      <w:r>
        <w:rPr>
          <w:rFonts w:hint="eastAsia" w:hAnsi="宋体"/>
          <w:color w:val="auto"/>
          <w:sz w:val="24"/>
          <w:szCs w:val="24"/>
          <w:highlight w:val="none"/>
        </w:rPr>
        <w:t>、质疑的提出</w:t>
      </w:r>
    </w:p>
    <w:p w14:paraId="48B81A9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6.1 </w:t>
      </w:r>
      <w:r>
        <w:rPr>
          <w:rFonts w:hint="eastAsia" w:hAnsi="宋体"/>
          <w:b w:val="0"/>
          <w:bCs w:val="0"/>
          <w:color w:val="auto"/>
          <w:sz w:val="24"/>
          <w:szCs w:val="24"/>
          <w:highlight w:val="none"/>
        </w:rPr>
        <w:t>提出质疑的供应商应当是参与所质疑项目采购活动的供应商。未参加投标活动的供应商或在投标活动中自身权益未受到损害的供应商所提出的质疑不予受理。</w:t>
      </w:r>
    </w:p>
    <w:p w14:paraId="276AB14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6.2 </w:t>
      </w:r>
      <w:r>
        <w:rPr>
          <w:rFonts w:hint="eastAsia" w:hAnsi="宋体"/>
          <w:b w:val="0"/>
          <w:bCs w:val="0"/>
          <w:color w:val="auto"/>
          <w:sz w:val="24"/>
          <w:szCs w:val="24"/>
          <w:highlight w:val="none"/>
        </w:rPr>
        <w:t>供应商认为采购文件、采购过程、中标或者成交结果使自己的权益受到损害的，可以在知道或应知其权益受到损害之日起</w:t>
      </w:r>
      <w:r>
        <w:rPr>
          <w:rFonts w:hAnsi="宋体"/>
          <w:b w:val="0"/>
          <w:bCs w:val="0"/>
          <w:color w:val="auto"/>
          <w:sz w:val="24"/>
          <w:szCs w:val="24"/>
          <w:highlight w:val="none"/>
        </w:rPr>
        <w:t xml:space="preserve"> 7 </w:t>
      </w:r>
      <w:r>
        <w:rPr>
          <w:rFonts w:hint="eastAsia" w:hAnsi="宋体"/>
          <w:b w:val="0"/>
          <w:bCs w:val="0"/>
          <w:color w:val="auto"/>
          <w:sz w:val="24"/>
          <w:szCs w:val="24"/>
          <w:highlight w:val="none"/>
        </w:rPr>
        <w:t>个工作日内，以书面形式向采购人、采购代理机构提出质疑。</w:t>
      </w:r>
    </w:p>
    <w:p w14:paraId="1C173AA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6.3 </w:t>
      </w:r>
      <w:r>
        <w:rPr>
          <w:rFonts w:hint="eastAsia" w:hAnsi="宋体"/>
          <w:b w:val="0"/>
          <w:bCs w:val="0"/>
          <w:color w:val="auto"/>
          <w:sz w:val="24"/>
          <w:szCs w:val="24"/>
          <w:highlight w:val="none"/>
        </w:rPr>
        <w:t>上述应知其权益受到损害之日是指：</w:t>
      </w:r>
    </w:p>
    <w:p w14:paraId="534D0F3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）对采购文件提出质疑的，为获取采购文件或者采购文件公告期限届满之日起计算；</w:t>
      </w:r>
    </w:p>
    <w:p w14:paraId="4D26AB0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）对采购过程提出质疑的，自采购程序环节结束之日起计算；</w:t>
      </w:r>
    </w:p>
    <w:p w14:paraId="1A15504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）对中标结果提出质疑的，自中标结果公告期限届满之日起计算。</w:t>
      </w:r>
    </w:p>
    <w:p w14:paraId="5CE1817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6.4 </w:t>
      </w:r>
      <w:r>
        <w:rPr>
          <w:rFonts w:hint="eastAsia" w:hAnsi="宋体"/>
          <w:b w:val="0"/>
          <w:bCs w:val="0"/>
          <w:color w:val="auto"/>
          <w:sz w:val="24"/>
          <w:szCs w:val="24"/>
          <w:highlight w:val="none"/>
        </w:rPr>
        <w:t>供应商提出质疑应当提交质疑函和必要的证明材料。质疑函应当包括下列内容：</w:t>
      </w:r>
    </w:p>
    <w:p w14:paraId="01B777B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）供应商的姓名或者名称、地址、邮编、联系人及联系电话；</w:t>
      </w:r>
    </w:p>
    <w:p w14:paraId="154506E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）质疑项目的名称、编号；</w:t>
      </w:r>
    </w:p>
    <w:p w14:paraId="31595A4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）具体、明确的质疑事项和与质疑事项相关的请求；</w:t>
      </w:r>
    </w:p>
    <w:p w14:paraId="68904FD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）事实依据；</w:t>
      </w:r>
    </w:p>
    <w:p w14:paraId="25A5934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）必要的法律依据；</w:t>
      </w:r>
    </w:p>
    <w:p w14:paraId="7AC9FB6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6</w:t>
      </w:r>
      <w:r>
        <w:rPr>
          <w:rFonts w:hint="eastAsia" w:hAnsi="宋体"/>
          <w:b w:val="0"/>
          <w:bCs w:val="0"/>
          <w:color w:val="auto"/>
          <w:sz w:val="24"/>
          <w:szCs w:val="24"/>
          <w:highlight w:val="none"/>
        </w:rPr>
        <w:t>）提出质疑的日期。</w:t>
      </w:r>
    </w:p>
    <w:p w14:paraId="76449FA7">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6.5 </w:t>
      </w:r>
      <w:r>
        <w:rPr>
          <w:rFonts w:hint="eastAsia" w:hAnsi="宋体"/>
          <w:b w:val="0"/>
          <w:bCs w:val="0"/>
          <w:color w:val="auto"/>
          <w:sz w:val="24"/>
          <w:szCs w:val="24"/>
          <w:highlight w:val="none"/>
        </w:rPr>
        <w:t>质疑函的格式和内容应当符合财政部《政府采购供应商质疑函范本》要求，质疑函范本在财政部官网上提供下载。</w:t>
      </w:r>
    </w:p>
    <w:p w14:paraId="77637D0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6.6 </w:t>
      </w:r>
      <w:r>
        <w:rPr>
          <w:rFonts w:hint="eastAsia" w:hAnsi="宋体"/>
          <w:b w:val="0"/>
          <w:bCs w:val="0"/>
          <w:color w:val="auto"/>
          <w:sz w:val="24"/>
          <w:szCs w:val="24"/>
          <w:highlight w:val="none"/>
        </w:rPr>
        <w:t>提交质疑函同时应当附如下证明材料：</w:t>
      </w:r>
    </w:p>
    <w:p w14:paraId="4BFDCC45">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）对采购文件提出质疑的供应商提供参加本项目的报名确认单；</w:t>
      </w:r>
    </w:p>
    <w:p w14:paraId="1C1C419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）质疑供应商的营业执照复印件加盖单位公章；</w:t>
      </w:r>
    </w:p>
    <w:p w14:paraId="53BEC0D9">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）质疑供应商法定代表人身份证复印件加盖单位公章；</w:t>
      </w:r>
    </w:p>
    <w:p w14:paraId="2841510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）质疑供应商若委托代理人进行质疑的，提供法人授权委托书及代理人身份证复印件加盖单位公章，授权委托书应载明代理人的姓名或者名称、代理事项、具体权限、期限和相关事项。</w:t>
      </w:r>
    </w:p>
    <w:p w14:paraId="3CDF508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6.7 </w:t>
      </w:r>
      <w:r>
        <w:rPr>
          <w:rFonts w:hint="eastAsia" w:hAnsi="宋体"/>
          <w:b w:val="0"/>
          <w:bCs w:val="0"/>
          <w:color w:val="auto"/>
          <w:sz w:val="24"/>
          <w:szCs w:val="24"/>
          <w:highlight w:val="none"/>
        </w:rPr>
        <w:t>供应商为自然人的，质疑函应当由本人签字；供应商为法人或者其他组织的，应当由法定代表人、主要负责人，或者其授权代表签字或者盖章，并加盖公章。质疑函须原件。</w:t>
      </w:r>
    </w:p>
    <w:p w14:paraId="3789167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6.8 </w:t>
      </w:r>
      <w:r>
        <w:rPr>
          <w:rFonts w:hint="eastAsia" w:hAnsi="宋体"/>
          <w:b w:val="0"/>
          <w:bCs w:val="0"/>
          <w:color w:val="auto"/>
          <w:sz w:val="24"/>
          <w:szCs w:val="24"/>
          <w:highlight w:val="none"/>
        </w:rPr>
        <w:t>供应商须在法定质疑期内一次性提出针对同一采购程序环节的质疑。</w:t>
      </w:r>
    </w:p>
    <w:p w14:paraId="08D1E2C6">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37</w:t>
      </w:r>
      <w:r>
        <w:rPr>
          <w:rFonts w:hint="eastAsia" w:hAnsi="宋体"/>
          <w:color w:val="auto"/>
          <w:sz w:val="24"/>
          <w:szCs w:val="24"/>
          <w:highlight w:val="none"/>
        </w:rPr>
        <w:t>、质疑的受理与答复</w:t>
      </w:r>
    </w:p>
    <w:p w14:paraId="66EDD4F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7.1 </w:t>
      </w:r>
      <w:r>
        <w:rPr>
          <w:rFonts w:hint="eastAsia" w:hAnsi="宋体"/>
          <w:b w:val="0"/>
          <w:bCs w:val="0"/>
          <w:color w:val="auto"/>
          <w:sz w:val="24"/>
          <w:szCs w:val="24"/>
          <w:highlight w:val="none"/>
        </w:rPr>
        <w:t>采购人负责供应商质疑答复。采购人委托采购代理机构采购的，采购代理机构在委托授权范围内作出答复。</w:t>
      </w:r>
    </w:p>
    <w:p w14:paraId="698F244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7.2 </w:t>
      </w:r>
      <w:r>
        <w:rPr>
          <w:rFonts w:hint="eastAsia" w:hAnsi="宋体"/>
          <w:b w:val="0"/>
          <w:bCs w:val="0"/>
          <w:color w:val="auto"/>
          <w:sz w:val="24"/>
          <w:szCs w:val="24"/>
          <w:highlight w:val="none"/>
        </w:rPr>
        <w:t>质疑函由采购代理机构办理签收手续。</w:t>
      </w:r>
    </w:p>
    <w:p w14:paraId="7A27A466">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37.3 </w:t>
      </w:r>
      <w:r>
        <w:rPr>
          <w:rFonts w:hint="eastAsia" w:hAnsi="宋体"/>
          <w:b w:val="0"/>
          <w:bCs w:val="0"/>
          <w:color w:val="auto"/>
          <w:sz w:val="24"/>
          <w:szCs w:val="24"/>
          <w:highlight w:val="none"/>
        </w:rPr>
        <w:t>质疑函接收单位信息：</w:t>
      </w:r>
    </w:p>
    <w:p w14:paraId="49AE688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接收单位：苏州安信造价咨询有限公司</w:t>
      </w:r>
    </w:p>
    <w:p w14:paraId="69D8A29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地址：太仓市兰德东亭大厦1809</w:t>
      </w:r>
    </w:p>
    <w:p w14:paraId="6605BBF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邮编：</w:t>
      </w:r>
      <w:r>
        <w:rPr>
          <w:rFonts w:hAnsi="宋体"/>
          <w:b w:val="0"/>
          <w:bCs w:val="0"/>
          <w:color w:val="auto"/>
          <w:sz w:val="24"/>
          <w:szCs w:val="24"/>
          <w:highlight w:val="none"/>
        </w:rPr>
        <w:t>215400</w:t>
      </w:r>
    </w:p>
    <w:p w14:paraId="187356A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联系人：何峥嵘、谢洁</w:t>
      </w:r>
    </w:p>
    <w:p w14:paraId="0F9842F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电话：0512-53526717</w:t>
      </w:r>
    </w:p>
    <w:p w14:paraId="6B8A1449">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7.4 </w:t>
      </w:r>
      <w:r>
        <w:rPr>
          <w:rFonts w:hint="eastAsia" w:hAnsi="宋体"/>
          <w:b w:val="0"/>
          <w:bCs w:val="0"/>
          <w:color w:val="auto"/>
          <w:sz w:val="24"/>
          <w:szCs w:val="24"/>
          <w:highlight w:val="none"/>
        </w:rPr>
        <w:t>采购人、采购代理机构应当在收到质疑函后</w:t>
      </w:r>
      <w:r>
        <w:rPr>
          <w:rFonts w:hAnsi="宋体"/>
          <w:b w:val="0"/>
          <w:bCs w:val="0"/>
          <w:color w:val="auto"/>
          <w:sz w:val="24"/>
          <w:szCs w:val="24"/>
          <w:highlight w:val="none"/>
        </w:rPr>
        <w:t xml:space="preserve"> 7 </w:t>
      </w:r>
      <w:r>
        <w:rPr>
          <w:rFonts w:hint="eastAsia" w:hAnsi="宋体"/>
          <w:b w:val="0"/>
          <w:bCs w:val="0"/>
          <w:color w:val="auto"/>
          <w:sz w:val="24"/>
          <w:szCs w:val="24"/>
          <w:highlight w:val="none"/>
        </w:rPr>
        <w:t>个工作日内作出答复，并以书面形式通知质疑供应商和其他有关供应商。</w:t>
      </w:r>
    </w:p>
    <w:p w14:paraId="272FC0FB">
      <w:pPr>
        <w:pStyle w:val="7"/>
        <w:spacing w:line="360" w:lineRule="auto"/>
        <w:ind w:left="0" w:firstLine="420"/>
        <w:jc w:val="both"/>
        <w:rPr>
          <w:rFonts w:hAnsi="宋体"/>
          <w:b w:val="0"/>
          <w:bCs w:val="0"/>
          <w:color w:val="auto"/>
          <w:sz w:val="24"/>
          <w:szCs w:val="24"/>
          <w:highlight w:val="none"/>
        </w:rPr>
      </w:pPr>
      <w:r>
        <w:rPr>
          <w:rFonts w:hAnsi="宋体"/>
          <w:b w:val="0"/>
          <w:bCs w:val="0"/>
          <w:color w:val="auto"/>
          <w:sz w:val="24"/>
          <w:szCs w:val="24"/>
          <w:highlight w:val="none"/>
        </w:rPr>
        <w:t xml:space="preserve">37.5 </w:t>
      </w:r>
      <w:r>
        <w:rPr>
          <w:rFonts w:hint="eastAsia" w:hAnsi="宋体"/>
          <w:b w:val="0"/>
          <w:bCs w:val="0"/>
          <w:color w:val="auto"/>
          <w:sz w:val="24"/>
          <w:szCs w:val="24"/>
          <w:highlight w:val="none"/>
        </w:rPr>
        <w:t>采购人、采购代理机构处理的其他要求按《政府采购质疑和投诉办法》（中华人民共和国财政部令第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号）相关规定执行。</w:t>
      </w:r>
    </w:p>
    <w:p w14:paraId="2852E023">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38</w:t>
      </w:r>
      <w:r>
        <w:rPr>
          <w:rFonts w:hint="eastAsia" w:hAnsi="宋体"/>
          <w:color w:val="auto"/>
          <w:sz w:val="24"/>
          <w:szCs w:val="24"/>
          <w:highlight w:val="none"/>
        </w:rPr>
        <w:t>、投诉的提起</w:t>
      </w:r>
    </w:p>
    <w:p w14:paraId="14E57C7E">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8.1 </w:t>
      </w:r>
      <w:r>
        <w:rPr>
          <w:rFonts w:hint="eastAsia" w:hAnsi="宋体"/>
          <w:b w:val="0"/>
          <w:bCs w:val="0"/>
          <w:color w:val="auto"/>
          <w:sz w:val="24"/>
          <w:szCs w:val="24"/>
          <w:highlight w:val="none"/>
        </w:rPr>
        <w:t>质疑供应商对采购人、采购代理机构的答复不满意，或者采购人、采购代理机构未在规定时间内作出答复的，可以在答复期满后</w:t>
      </w:r>
      <w:r>
        <w:rPr>
          <w:rFonts w:hAnsi="宋体"/>
          <w:b w:val="0"/>
          <w:bCs w:val="0"/>
          <w:color w:val="auto"/>
          <w:sz w:val="24"/>
          <w:szCs w:val="24"/>
          <w:highlight w:val="none"/>
        </w:rPr>
        <w:t>15</w:t>
      </w:r>
      <w:r>
        <w:rPr>
          <w:rFonts w:hint="eastAsia" w:hAnsi="宋体"/>
          <w:b w:val="0"/>
          <w:bCs w:val="0"/>
          <w:color w:val="auto"/>
          <w:sz w:val="24"/>
          <w:szCs w:val="24"/>
          <w:highlight w:val="none"/>
        </w:rPr>
        <w:t>个工作日内向采购人所属预算级次的财政部门提起投诉。</w:t>
      </w:r>
    </w:p>
    <w:p w14:paraId="1CB2FF96">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8.2 </w:t>
      </w:r>
      <w:r>
        <w:rPr>
          <w:rFonts w:hint="eastAsia" w:hAnsi="宋体"/>
          <w:b w:val="0"/>
          <w:bCs w:val="0"/>
          <w:color w:val="auto"/>
          <w:sz w:val="24"/>
          <w:szCs w:val="24"/>
          <w:highlight w:val="none"/>
        </w:rPr>
        <w:t>供应商投诉时</w:t>
      </w:r>
      <w:r>
        <w:rPr>
          <w:rFonts w:hAnsi="宋体"/>
          <w:b w:val="0"/>
          <w:bCs w:val="0"/>
          <w:color w:val="auto"/>
          <w:sz w:val="24"/>
          <w:szCs w:val="24"/>
          <w:highlight w:val="none"/>
        </w:rPr>
        <w:t>,</w:t>
      </w:r>
      <w:r>
        <w:rPr>
          <w:rFonts w:hint="eastAsia" w:hAnsi="宋体"/>
          <w:b w:val="0"/>
          <w:bCs w:val="0"/>
          <w:color w:val="auto"/>
          <w:sz w:val="24"/>
          <w:szCs w:val="24"/>
          <w:highlight w:val="none"/>
        </w:rPr>
        <w:t>应当提交投诉书和必要的证明材料，并按照被投诉采购人、采购代理机构（以下简称被投诉人）和与投诉事项有关的供应商数量提供投诉书的副本。投诉书应包括下列内容：</w:t>
      </w:r>
    </w:p>
    <w:p w14:paraId="7EECECE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）投诉人和被投诉人的姓名或者名称、通讯地址、邮编、联系人及联系电话；</w:t>
      </w:r>
    </w:p>
    <w:p w14:paraId="28FE129F">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）质疑和质疑答复情况说明及相关证明材料；</w:t>
      </w:r>
    </w:p>
    <w:p w14:paraId="685E47E1">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）具体、明确的投诉事项和与投诉事项相关的投诉请求；</w:t>
      </w:r>
    </w:p>
    <w:p w14:paraId="17BD043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）事实依据；</w:t>
      </w:r>
    </w:p>
    <w:p w14:paraId="75A7C56C">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）法律依据；</w:t>
      </w:r>
    </w:p>
    <w:p w14:paraId="7BBD18E3">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6</w:t>
      </w:r>
      <w:r>
        <w:rPr>
          <w:rFonts w:hint="eastAsia" w:hAnsi="宋体"/>
          <w:b w:val="0"/>
          <w:bCs w:val="0"/>
          <w:color w:val="auto"/>
          <w:sz w:val="24"/>
          <w:szCs w:val="24"/>
          <w:highlight w:val="none"/>
        </w:rPr>
        <w:t>）提起投诉的日期。</w:t>
      </w:r>
    </w:p>
    <w:p w14:paraId="2519C75A">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8.3 </w:t>
      </w:r>
      <w:r>
        <w:rPr>
          <w:rFonts w:hint="eastAsia" w:hAnsi="宋体"/>
          <w:b w:val="0"/>
          <w:bCs w:val="0"/>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A88FBD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8.4 </w:t>
      </w:r>
      <w:r>
        <w:rPr>
          <w:rFonts w:hint="eastAsia" w:hAnsi="宋体"/>
          <w:b w:val="0"/>
          <w:bCs w:val="0"/>
          <w:color w:val="auto"/>
          <w:sz w:val="24"/>
          <w:szCs w:val="24"/>
          <w:highlight w:val="none"/>
        </w:rPr>
        <w:t>投诉人提起投诉应当符合下列条件：</w:t>
      </w:r>
    </w:p>
    <w:p w14:paraId="7E2B083B">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1</w:t>
      </w:r>
      <w:r>
        <w:rPr>
          <w:rFonts w:hint="eastAsia" w:hAnsi="宋体"/>
          <w:b w:val="0"/>
          <w:bCs w:val="0"/>
          <w:color w:val="auto"/>
          <w:sz w:val="24"/>
          <w:szCs w:val="24"/>
          <w:highlight w:val="none"/>
        </w:rPr>
        <w:t>）提起投诉前已依法进行质疑；</w:t>
      </w:r>
    </w:p>
    <w:p w14:paraId="6C89FA6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2</w:t>
      </w:r>
      <w:r>
        <w:rPr>
          <w:rFonts w:hint="eastAsia" w:hAnsi="宋体"/>
          <w:b w:val="0"/>
          <w:bCs w:val="0"/>
          <w:color w:val="auto"/>
          <w:sz w:val="24"/>
          <w:szCs w:val="24"/>
          <w:highlight w:val="none"/>
        </w:rPr>
        <w:t>）投诉书内容符合本办法的规定；</w:t>
      </w:r>
    </w:p>
    <w:p w14:paraId="7EB81F10">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3</w:t>
      </w:r>
      <w:r>
        <w:rPr>
          <w:rFonts w:hint="eastAsia" w:hAnsi="宋体"/>
          <w:b w:val="0"/>
          <w:bCs w:val="0"/>
          <w:color w:val="auto"/>
          <w:sz w:val="24"/>
          <w:szCs w:val="24"/>
          <w:highlight w:val="none"/>
        </w:rPr>
        <w:t>）在投诉有效期限内提起投诉；</w:t>
      </w:r>
    </w:p>
    <w:p w14:paraId="6F3654C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4</w:t>
      </w:r>
      <w:r>
        <w:rPr>
          <w:rFonts w:hint="eastAsia" w:hAnsi="宋体"/>
          <w:b w:val="0"/>
          <w:bCs w:val="0"/>
          <w:color w:val="auto"/>
          <w:sz w:val="24"/>
          <w:szCs w:val="24"/>
          <w:highlight w:val="none"/>
        </w:rPr>
        <w:t>）同一投诉事项未经财政部门投诉处理；</w:t>
      </w:r>
    </w:p>
    <w:p w14:paraId="01516684">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w:t>
      </w:r>
      <w:r>
        <w:rPr>
          <w:rFonts w:hAnsi="宋体"/>
          <w:b w:val="0"/>
          <w:bCs w:val="0"/>
          <w:color w:val="auto"/>
          <w:sz w:val="24"/>
          <w:szCs w:val="24"/>
          <w:highlight w:val="none"/>
        </w:rPr>
        <w:t>5</w:t>
      </w:r>
      <w:r>
        <w:rPr>
          <w:rFonts w:hint="eastAsia" w:hAnsi="宋体"/>
          <w:b w:val="0"/>
          <w:bCs w:val="0"/>
          <w:color w:val="auto"/>
          <w:sz w:val="24"/>
          <w:szCs w:val="24"/>
          <w:highlight w:val="none"/>
        </w:rPr>
        <w:t>）财政部规定的其他条件。</w:t>
      </w:r>
    </w:p>
    <w:p w14:paraId="5032ADAD">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8.5 </w:t>
      </w:r>
      <w:r>
        <w:rPr>
          <w:rFonts w:hint="eastAsia" w:hAnsi="宋体"/>
          <w:b w:val="0"/>
          <w:bCs w:val="0"/>
          <w:color w:val="auto"/>
          <w:sz w:val="24"/>
          <w:szCs w:val="24"/>
          <w:highlight w:val="none"/>
        </w:rPr>
        <w:t>供应商投诉的事项不得超出已质疑事项的范围，但基于质疑答复内容提出的投诉事项除外。</w:t>
      </w:r>
    </w:p>
    <w:p w14:paraId="11C859F8">
      <w:pPr>
        <w:pStyle w:val="7"/>
        <w:spacing w:line="360" w:lineRule="auto"/>
        <w:ind w:left="0" w:firstLine="420"/>
        <w:jc w:val="both"/>
        <w:rPr>
          <w:rFonts w:hAnsi="宋体"/>
          <w:b w:val="0"/>
          <w:bCs w:val="0"/>
          <w:color w:val="auto"/>
          <w:sz w:val="24"/>
          <w:szCs w:val="24"/>
          <w:highlight w:val="none"/>
        </w:rPr>
      </w:pPr>
      <w:r>
        <w:rPr>
          <w:rFonts w:hint="eastAsia" w:hAnsi="宋体"/>
          <w:b w:val="0"/>
          <w:bCs w:val="0"/>
          <w:color w:val="auto"/>
          <w:sz w:val="24"/>
          <w:szCs w:val="24"/>
          <w:highlight w:val="none"/>
        </w:rPr>
        <w:t>3</w:t>
      </w:r>
      <w:r>
        <w:rPr>
          <w:rFonts w:hAnsi="宋体"/>
          <w:b w:val="0"/>
          <w:bCs w:val="0"/>
          <w:color w:val="auto"/>
          <w:sz w:val="24"/>
          <w:szCs w:val="24"/>
          <w:highlight w:val="none"/>
        </w:rPr>
        <w:t xml:space="preserve">8.6 </w:t>
      </w:r>
      <w:r>
        <w:rPr>
          <w:rFonts w:hint="eastAsia" w:hAnsi="宋体"/>
          <w:b w:val="0"/>
          <w:bCs w:val="0"/>
          <w:color w:val="auto"/>
          <w:sz w:val="24"/>
          <w:szCs w:val="24"/>
          <w:highlight w:val="none"/>
        </w:rPr>
        <w:t>由采购人所属预算级次的财政部门根据《政府采购质疑和投诉办法》（中华人民共和国财政部令第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号）相关规定进行投诉处理。</w:t>
      </w:r>
    </w:p>
    <w:p w14:paraId="2C8BA6FA">
      <w:pPr>
        <w:pStyle w:val="6"/>
        <w:spacing w:line="360" w:lineRule="auto"/>
        <w:ind w:left="0" w:firstLine="482" w:firstLineChars="200"/>
        <w:rPr>
          <w:rFonts w:hAnsi="宋体"/>
          <w:b/>
          <w:color w:val="auto"/>
          <w:highlight w:val="none"/>
        </w:rPr>
      </w:pPr>
      <w:r>
        <w:rPr>
          <w:rFonts w:hint="eastAsia" w:hAnsi="宋体"/>
          <w:b/>
          <w:color w:val="auto"/>
          <w:highlight w:val="none"/>
        </w:rPr>
        <w:t>九、代理服务费</w:t>
      </w:r>
    </w:p>
    <w:p w14:paraId="48FFC252">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39</w:t>
      </w:r>
      <w:r>
        <w:rPr>
          <w:rFonts w:hint="eastAsia" w:hAnsi="宋体"/>
          <w:color w:val="auto"/>
          <w:sz w:val="24"/>
          <w:szCs w:val="24"/>
          <w:highlight w:val="none"/>
        </w:rPr>
        <w:t>、本项目的采购代理服务费和评委费由采购人承担。</w:t>
      </w:r>
    </w:p>
    <w:p w14:paraId="432F560E">
      <w:pPr>
        <w:pStyle w:val="7"/>
        <w:spacing w:line="360" w:lineRule="auto"/>
        <w:ind w:left="0" w:firstLine="420"/>
        <w:jc w:val="both"/>
        <w:rPr>
          <w:rFonts w:hAnsi="宋体"/>
          <w:color w:val="auto"/>
          <w:sz w:val="24"/>
          <w:szCs w:val="24"/>
          <w:highlight w:val="none"/>
        </w:rPr>
      </w:pPr>
      <w:r>
        <w:rPr>
          <w:rFonts w:hAnsi="宋体"/>
          <w:color w:val="auto"/>
          <w:sz w:val="24"/>
          <w:szCs w:val="24"/>
          <w:highlight w:val="none"/>
        </w:rPr>
        <w:t>40</w:t>
      </w:r>
      <w:r>
        <w:rPr>
          <w:rFonts w:hint="eastAsia" w:hAnsi="宋体"/>
          <w:color w:val="auto"/>
          <w:sz w:val="24"/>
          <w:szCs w:val="24"/>
          <w:highlight w:val="none"/>
        </w:rPr>
        <w:t>、代理服务收费以预算金额作为计算基数，按差额定率累进法计算：预算金额 100 万元（含）以下部分，收费费率为 1.5%；100 万元～500 万元（含）部分，收费费率为 1.1%；500 万元～1000 万元（含）部分，收费费率为 0.8%；最低收费3000元。评委费按《关于调整苏州市政府采购专家评审费标准的通知》（苏财购〔2023〕37号）执行。</w:t>
      </w:r>
    </w:p>
    <w:p w14:paraId="16A2CFCF">
      <w:pPr>
        <w:pStyle w:val="6"/>
        <w:spacing w:line="360" w:lineRule="auto"/>
        <w:ind w:left="0" w:firstLine="482" w:firstLineChars="200"/>
        <w:rPr>
          <w:rFonts w:hAnsi="宋体"/>
          <w:b/>
          <w:color w:val="auto"/>
          <w:highlight w:val="none"/>
        </w:rPr>
      </w:pPr>
      <w:r>
        <w:rPr>
          <w:rFonts w:hint="eastAsia" w:hAnsi="宋体"/>
          <w:b/>
          <w:color w:val="auto"/>
          <w:highlight w:val="none"/>
        </w:rPr>
        <w:t>十、落实政府采购政策</w:t>
      </w:r>
    </w:p>
    <w:p w14:paraId="1A4DB130">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41、采购本国货物、服务和工程</w:t>
      </w:r>
    </w:p>
    <w:p w14:paraId="33C7AA9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政府采购应当采购本国货物、工程和服务。但有《中华人民共和国政府采购法》第十条规定情形的除外。</w:t>
      </w:r>
    </w:p>
    <w:p w14:paraId="6434DAD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41.1本项目如接受非本国货物、工程、服务参与投标，则具体要求见第三章《项目需求》。若第三章《项目需求》中不接受采购进口产品，投标人所投产品为进口产品的将被认定为投标无效。</w:t>
      </w:r>
    </w:p>
    <w:p w14:paraId="5BE8BD86">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p>
    <w:p w14:paraId="3F32B1BE">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65EC0C">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29FB7146">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41.5对本国产品的支持政策的相关要求：</w:t>
      </w:r>
    </w:p>
    <w:p w14:paraId="16ABAE2A">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（1）政府采购活动中既有本国产品又有非本国产品参与竞争的，依法对本国产品给予价格评审优惠，对本国产品的报价给予20%的价格扣除，用扣除后的价格参与评审。</w:t>
      </w:r>
    </w:p>
    <w:p w14:paraId="3BF56131">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7EBE9B8">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42、支持中小企业发展</w:t>
      </w:r>
    </w:p>
    <w:p w14:paraId="123C5D69">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49E1AD">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42.2在政府采购活动中，供应商提供的服务符合下列情形的，享受中小企业扶持政策：</w:t>
      </w:r>
    </w:p>
    <w:p w14:paraId="56DCBDBF">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（1）服务由中小企业承接，即提供服务的人员为中小企业依照《中华人民共和国劳动合同法》订立劳动合同的从业人员。</w:t>
      </w:r>
    </w:p>
    <w:p w14:paraId="64F65942">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（2）以联合体形式参加政府采购活动，联合体各方均为中小企业的，联合体视同中小企业。其中，联合体各方均为小微企业的，联合体视同小微企业。</w:t>
      </w:r>
    </w:p>
    <w:p w14:paraId="799BE259">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42.3根据《财政部 司法部关于政府采购支持监狱企业发展有关问题的通知》（财库〔2014〕68 号），监狱企业视同小型、微型企业。</w:t>
      </w:r>
    </w:p>
    <w:p w14:paraId="73669A38">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42.4在政府采购活动中，满足《财政部 民政部 中国残疾人联合会关于促进残疾人就业政府采购政策的通知》（财库〔2017〕141 号）所列条件的残疾人福利性单位视同小型、微型企业。</w:t>
      </w:r>
    </w:p>
    <w:p w14:paraId="592BD86D">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42.5中小企业供应商参加政府采购活动，应当出具第五章标准格式的《中小企业声明函》、监狱企业应当提供省级以上监狱管理局、戒毒管理局（含新疆生产建设兵团）出具的属于监狱企业的证明文件、残疾人福利性单位应当提供第五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p>
    <w:p w14:paraId="312DDAB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42.6实施预留采购份额扶持政策的相关要求：</w:t>
      </w:r>
    </w:p>
    <w:p w14:paraId="0EDBBD68">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（1）对于将采购项目整体或者设置采购包专门面向中小企业的采购项目，投标人应提供标准格式的《中小企业声明函》或监狱企业证明文件或《残疾人福利性单位声明函》。</w:t>
      </w:r>
    </w:p>
    <w:p w14:paraId="08922AF3">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对于要求供应商以联合体形式参加采购活动，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p>
    <w:p w14:paraId="18D9E26A">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（3）对小微企业不再执行价格评审优惠。</w:t>
      </w:r>
    </w:p>
    <w:p w14:paraId="58BF3BD8">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42.7实施价格评审优惠扶持政策的相关要求：</w:t>
      </w:r>
    </w:p>
    <w:p w14:paraId="064CB3DB">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p>
    <w:p w14:paraId="4A6E8C5A">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（2）接受大中型企业与小微企业组成联合体或者允许大中型企业向一家或者多家小微企业分包的采购项目，对于联合协议或者分包意向协议约定小微企业的合同份额占到合同总金额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p>
    <w:p w14:paraId="3EA449A9">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（3）价格扣除比例对小型企业和微型企业同等对待，不作区分。</w:t>
      </w:r>
    </w:p>
    <w:p w14:paraId="7F339F79">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42.8本项目是否专门面向中小企业预留采购份额的资格要求：见第一章《招标公告》。</w:t>
      </w:r>
    </w:p>
    <w:p w14:paraId="0980816E">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42.9本项目小微企业价格评审优惠的价格扣除比例调整：见第五章《评标办法及标准》。</w:t>
      </w:r>
    </w:p>
    <w:p w14:paraId="19F4F751">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42.10采购标的对应的所属行业中小企业划分标准：见《工信部联企业〔2011〕300号通知》。</w:t>
      </w:r>
    </w:p>
    <w:p w14:paraId="1EB05F83">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43、支持绿色采购</w:t>
      </w:r>
    </w:p>
    <w:p w14:paraId="3F74715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43.1根据《财政部 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p>
    <w:p w14:paraId="5CDEB6F2">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p>
    <w:p w14:paraId="2D75C0A5">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43.3纳入政府采购管理的修缮、装修类项目采购建材的，鼓励采购单位将绿色建材性能、指标等作为实质性条件纳入采购文件和合同，具体性能指标要求参考相关绿色建材政府采购需求标准。</w:t>
      </w:r>
    </w:p>
    <w:p w14:paraId="25140788">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092B1A11">
      <w:pPr>
        <w:pStyle w:val="6"/>
        <w:spacing w:line="360" w:lineRule="auto"/>
        <w:ind w:left="0" w:firstLine="482" w:firstLineChars="200"/>
        <w:rPr>
          <w:rFonts w:hAnsi="宋体"/>
          <w:b/>
          <w:color w:val="auto"/>
          <w:highlight w:val="none"/>
        </w:rPr>
      </w:pPr>
      <w:r>
        <w:rPr>
          <w:rFonts w:hint="eastAsia" w:hAnsi="宋体"/>
          <w:b/>
          <w:color w:val="auto"/>
          <w:highlight w:val="none"/>
        </w:rPr>
        <w:t>十一、其他</w:t>
      </w:r>
    </w:p>
    <w:p w14:paraId="7CADA763">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w:t>
      </w:r>
      <w:r>
        <w:rPr>
          <w:rFonts w:hAnsi="宋体"/>
          <w:bCs w:val="0"/>
          <w:color w:val="auto"/>
          <w:sz w:val="24"/>
          <w:szCs w:val="24"/>
          <w:highlight w:val="none"/>
        </w:rPr>
        <w:t>4</w:t>
      </w:r>
      <w:r>
        <w:rPr>
          <w:rFonts w:hint="eastAsia" w:hAnsi="宋体"/>
          <w:bCs w:val="0"/>
          <w:color w:val="auto"/>
          <w:sz w:val="24"/>
          <w:szCs w:val="24"/>
          <w:highlight w:val="none"/>
        </w:rPr>
        <w:t>、适用法律</w:t>
      </w:r>
    </w:p>
    <w:p w14:paraId="126C2C24">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w:t>
      </w:r>
      <w:r>
        <w:rPr>
          <w:rFonts w:hAnsi="宋体"/>
          <w:bCs/>
          <w:color w:val="auto"/>
          <w:sz w:val="24"/>
          <w:szCs w:val="24"/>
          <w:highlight w:val="none"/>
        </w:rPr>
        <w:t>4</w:t>
      </w:r>
      <w:r>
        <w:rPr>
          <w:rFonts w:hint="eastAsia" w:hAnsi="宋体"/>
          <w:bCs/>
          <w:color w:val="auto"/>
          <w:sz w:val="24"/>
          <w:szCs w:val="24"/>
          <w:highlight w:val="none"/>
        </w:rPr>
        <w:t>.1采购人、采购代理机构、评标专家及投标人的一切采购活动均适用《中华人民共和国政府采购法》《中华人民共和国政府采购法实施条例》《政府采购货物和服务招标投标管理办法》（财政部令第 87 号）及相关法律法规。</w:t>
      </w:r>
    </w:p>
    <w:p w14:paraId="5B4407DD">
      <w:pPr>
        <w:widowControl/>
        <w:spacing w:line="360" w:lineRule="auto"/>
        <w:ind w:firstLine="480"/>
        <w:rPr>
          <w:rFonts w:hAnsi="宋体"/>
          <w:bCs/>
          <w:color w:val="auto"/>
          <w:sz w:val="24"/>
          <w:szCs w:val="24"/>
          <w:highlight w:val="none"/>
        </w:rPr>
      </w:pPr>
      <w:r>
        <w:rPr>
          <w:rFonts w:hint="eastAsia" w:hAnsi="宋体"/>
          <w:bCs/>
          <w:color w:val="auto"/>
          <w:sz w:val="24"/>
          <w:szCs w:val="24"/>
          <w:highlight w:val="none"/>
        </w:rPr>
        <w:t>4</w:t>
      </w:r>
      <w:r>
        <w:rPr>
          <w:rFonts w:hAnsi="宋体"/>
          <w:bCs/>
          <w:color w:val="auto"/>
          <w:sz w:val="24"/>
          <w:szCs w:val="24"/>
          <w:highlight w:val="none"/>
        </w:rPr>
        <w:t>4</w:t>
      </w:r>
      <w:r>
        <w:rPr>
          <w:rFonts w:hint="eastAsia" w:hAnsi="宋体"/>
          <w:bCs/>
          <w:color w:val="auto"/>
          <w:sz w:val="24"/>
          <w:szCs w:val="24"/>
          <w:highlight w:val="none"/>
        </w:rPr>
        <w:t>.2政府采购合同的履行、违约责任和解决争议的方法等适用《中华人民共和国民法典》。</w:t>
      </w:r>
    </w:p>
    <w:p w14:paraId="275EE0A9">
      <w:pPr>
        <w:pStyle w:val="7"/>
        <w:spacing w:line="360" w:lineRule="auto"/>
        <w:ind w:left="0" w:firstLine="420"/>
        <w:jc w:val="both"/>
        <w:rPr>
          <w:rFonts w:hAnsi="宋体"/>
          <w:bCs w:val="0"/>
          <w:color w:val="auto"/>
          <w:sz w:val="24"/>
          <w:szCs w:val="24"/>
          <w:highlight w:val="none"/>
        </w:rPr>
      </w:pPr>
      <w:r>
        <w:rPr>
          <w:rFonts w:hint="eastAsia" w:hAnsi="宋体"/>
          <w:bCs w:val="0"/>
          <w:color w:val="auto"/>
          <w:sz w:val="24"/>
          <w:szCs w:val="24"/>
          <w:highlight w:val="none"/>
        </w:rPr>
        <w:t>4</w:t>
      </w:r>
      <w:r>
        <w:rPr>
          <w:rFonts w:hAnsi="宋体"/>
          <w:bCs w:val="0"/>
          <w:color w:val="auto"/>
          <w:sz w:val="24"/>
          <w:szCs w:val="24"/>
          <w:highlight w:val="none"/>
        </w:rPr>
        <w:t>5</w:t>
      </w:r>
      <w:r>
        <w:rPr>
          <w:rFonts w:hint="eastAsia" w:hAnsi="宋体"/>
          <w:bCs w:val="0"/>
          <w:color w:val="auto"/>
          <w:sz w:val="24"/>
          <w:szCs w:val="24"/>
          <w:highlight w:val="none"/>
        </w:rPr>
        <w:t>、解释权</w:t>
      </w:r>
    </w:p>
    <w:p w14:paraId="4294C8B6">
      <w:pPr>
        <w:pStyle w:val="7"/>
        <w:spacing w:line="360" w:lineRule="auto"/>
        <w:ind w:left="0" w:firstLine="420"/>
        <w:jc w:val="both"/>
        <w:rPr>
          <w:rFonts w:hAnsi="宋体"/>
          <w:b w:val="0"/>
          <w:bCs w:val="0"/>
          <w:color w:val="auto"/>
          <w:sz w:val="21"/>
          <w:highlight w:val="none"/>
        </w:rPr>
        <w:sectPr>
          <w:pgSz w:w="11906" w:h="16838"/>
          <w:pgMar w:top="1361" w:right="1304" w:bottom="1304" w:left="1361" w:header="851" w:footer="992" w:gutter="0"/>
          <w:cols w:space="720" w:num="1"/>
          <w:docGrid w:linePitch="360" w:charSpace="0"/>
        </w:sectPr>
      </w:pPr>
      <w:r>
        <w:rPr>
          <w:rFonts w:hint="eastAsia" w:hAnsi="宋体"/>
          <w:color w:val="auto"/>
          <w:sz w:val="24"/>
          <w:szCs w:val="24"/>
          <w:highlight w:val="none"/>
        </w:rPr>
        <w:t>本招标文件最终解释权归采购人或采购代理机构所有。</w:t>
      </w:r>
    </w:p>
    <w:p w14:paraId="18980743">
      <w:pPr>
        <w:jc w:val="center"/>
        <w:outlineLvl w:val="0"/>
        <w:rPr>
          <w:rFonts w:hAnsi="宋体"/>
          <w:b/>
          <w:bCs/>
          <w:color w:val="auto"/>
          <w:sz w:val="32"/>
          <w:szCs w:val="32"/>
          <w:highlight w:val="none"/>
        </w:rPr>
      </w:pPr>
      <w:bookmarkStart w:id="12" w:name="_Toc159507037"/>
      <w:r>
        <w:rPr>
          <w:rFonts w:hint="eastAsia" w:hAnsi="宋体"/>
          <w:b/>
          <w:bCs/>
          <w:color w:val="auto"/>
          <w:sz w:val="32"/>
          <w:szCs w:val="32"/>
          <w:highlight w:val="none"/>
        </w:rPr>
        <w:t>第三章项目需求</w:t>
      </w:r>
      <w:bookmarkEnd w:id="12"/>
    </w:p>
    <w:p w14:paraId="2197B228">
      <w:pPr>
        <w:pStyle w:val="237"/>
        <w:spacing w:line="360" w:lineRule="auto"/>
        <w:ind w:firstLine="0"/>
        <w:rPr>
          <w:rFonts w:hAnsi="宋体"/>
          <w:color w:val="auto"/>
          <w:highlight w:val="none"/>
        </w:rPr>
      </w:pPr>
    </w:p>
    <w:p w14:paraId="2484C9B5">
      <w:pPr>
        <w:spacing w:line="360" w:lineRule="auto"/>
        <w:ind w:firstLine="482"/>
        <w:rPr>
          <w:rFonts w:hAnsi="宋体"/>
          <w:b/>
          <w:color w:val="auto"/>
          <w:sz w:val="24"/>
          <w:szCs w:val="24"/>
          <w:highlight w:val="none"/>
        </w:rPr>
      </w:pPr>
      <w:bookmarkStart w:id="13" w:name="_Hlk121126111"/>
      <w:r>
        <w:rPr>
          <w:rFonts w:hint="eastAsia" w:hAnsi="宋体"/>
          <w:b/>
          <w:color w:val="auto"/>
          <w:sz w:val="24"/>
          <w:szCs w:val="24"/>
          <w:highlight w:val="none"/>
        </w:rPr>
        <w:t>一、项目编号：</w:t>
      </w:r>
      <w:r>
        <w:rPr>
          <w:rFonts w:hint="eastAsia" w:hAnsi="宋体"/>
          <w:color w:val="auto"/>
          <w:sz w:val="24"/>
          <w:szCs w:val="24"/>
          <w:highlight w:val="none"/>
        </w:rPr>
        <w:t>JSZC-320585-TCAX-G2026-0007</w:t>
      </w:r>
    </w:p>
    <w:p w14:paraId="670FE15D">
      <w:pPr>
        <w:spacing w:line="360" w:lineRule="auto"/>
        <w:ind w:firstLine="482"/>
        <w:rPr>
          <w:rFonts w:hAnsi="宋体"/>
          <w:b/>
          <w:color w:val="auto"/>
          <w:sz w:val="24"/>
          <w:szCs w:val="24"/>
          <w:highlight w:val="none"/>
        </w:rPr>
      </w:pPr>
      <w:r>
        <w:rPr>
          <w:rFonts w:hint="eastAsia" w:hAnsi="宋体"/>
          <w:b/>
          <w:color w:val="auto"/>
          <w:sz w:val="24"/>
          <w:szCs w:val="24"/>
          <w:highlight w:val="none"/>
        </w:rPr>
        <w:t>二、招标项目：</w:t>
      </w:r>
    </w:p>
    <w:p w14:paraId="55E392C3">
      <w:pPr>
        <w:spacing w:line="360" w:lineRule="auto"/>
        <w:ind w:firstLine="480"/>
        <w:rPr>
          <w:rFonts w:hAnsi="宋体"/>
          <w:bCs/>
          <w:color w:val="auto"/>
          <w:sz w:val="24"/>
          <w:szCs w:val="24"/>
          <w:highlight w:val="none"/>
        </w:rPr>
      </w:pPr>
      <w:r>
        <w:rPr>
          <w:rFonts w:hint="eastAsia" w:hAnsi="宋体"/>
          <w:bCs/>
          <w:color w:val="auto"/>
          <w:sz w:val="24"/>
          <w:szCs w:val="24"/>
          <w:highlight w:val="none"/>
        </w:rPr>
        <w:t>1、项目名称：</w:t>
      </w:r>
      <w:bookmarkStart w:id="14" w:name="OLE_LINK26"/>
      <w:bookmarkStart w:id="15" w:name="OLE_LINK27"/>
      <w:r>
        <w:rPr>
          <w:rFonts w:hint="eastAsia" w:hAnsi="宋体"/>
          <w:bCs/>
          <w:color w:val="auto"/>
          <w:sz w:val="24"/>
          <w:szCs w:val="24"/>
          <w:highlight w:val="none"/>
        </w:rPr>
        <w:t>太仓市公路保洁及应急处置项目。</w:t>
      </w:r>
      <w:bookmarkEnd w:id="14"/>
      <w:bookmarkEnd w:id="15"/>
    </w:p>
    <w:p w14:paraId="0B0C2A5A">
      <w:pPr>
        <w:spacing w:line="360" w:lineRule="auto"/>
        <w:ind w:firstLine="480"/>
        <w:rPr>
          <w:rFonts w:hAnsi="宋体"/>
          <w:bCs/>
          <w:color w:val="auto"/>
          <w:sz w:val="24"/>
          <w:szCs w:val="24"/>
          <w:highlight w:val="none"/>
        </w:rPr>
      </w:pPr>
      <w:r>
        <w:rPr>
          <w:rFonts w:hint="eastAsia" w:hAnsi="宋体"/>
          <w:bCs/>
          <w:color w:val="auto"/>
          <w:sz w:val="24"/>
          <w:szCs w:val="24"/>
          <w:highlight w:val="none"/>
        </w:rPr>
        <w:t>2、预算金额：人民币806万元。</w:t>
      </w:r>
    </w:p>
    <w:p w14:paraId="03E95D58">
      <w:pPr>
        <w:spacing w:line="360" w:lineRule="auto"/>
        <w:ind w:firstLine="480"/>
        <w:rPr>
          <w:rFonts w:hAnsi="宋体"/>
          <w:color w:val="auto"/>
          <w:sz w:val="24"/>
          <w:szCs w:val="24"/>
          <w:highlight w:val="none"/>
        </w:rPr>
      </w:pPr>
      <w:r>
        <w:rPr>
          <w:rFonts w:hint="eastAsia" w:hAnsi="宋体"/>
          <w:color w:val="auto"/>
          <w:sz w:val="24"/>
          <w:szCs w:val="24"/>
          <w:highlight w:val="none"/>
        </w:rPr>
        <w:t>3、最高限价：同预算金额。</w:t>
      </w:r>
    </w:p>
    <w:p w14:paraId="10B96DB5">
      <w:pPr>
        <w:spacing w:line="360" w:lineRule="auto"/>
        <w:ind w:firstLine="480"/>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、▲合同履约期限：</w:t>
      </w:r>
      <w:r>
        <w:rPr>
          <w:rFonts w:hint="eastAsia" w:hAnsi="宋体"/>
          <w:color w:val="auto"/>
          <w:kern w:val="2"/>
          <w:sz w:val="24"/>
          <w:szCs w:val="24"/>
          <w:highlight w:val="none"/>
        </w:rPr>
        <w:t>一年， 2</w:t>
      </w:r>
      <w:r>
        <w:rPr>
          <w:rFonts w:hAnsi="宋体"/>
          <w:color w:val="auto"/>
          <w:kern w:val="2"/>
          <w:sz w:val="24"/>
          <w:szCs w:val="24"/>
          <w:highlight w:val="none"/>
        </w:rPr>
        <w:t>026</w:t>
      </w:r>
      <w:r>
        <w:rPr>
          <w:rFonts w:hint="eastAsia" w:hAnsi="宋体"/>
          <w:color w:val="auto"/>
          <w:kern w:val="2"/>
          <w:sz w:val="24"/>
          <w:szCs w:val="24"/>
          <w:highlight w:val="none"/>
        </w:rPr>
        <w:t>年8月1日至2</w:t>
      </w:r>
      <w:r>
        <w:rPr>
          <w:rFonts w:hAnsi="宋体"/>
          <w:color w:val="auto"/>
          <w:kern w:val="2"/>
          <w:sz w:val="24"/>
          <w:szCs w:val="24"/>
          <w:highlight w:val="none"/>
        </w:rPr>
        <w:t>027</w:t>
      </w:r>
      <w:r>
        <w:rPr>
          <w:rFonts w:hint="eastAsia" w:hAnsi="宋体"/>
          <w:color w:val="auto"/>
          <w:kern w:val="2"/>
          <w:sz w:val="24"/>
          <w:szCs w:val="24"/>
          <w:highlight w:val="none"/>
        </w:rPr>
        <w:t>年7月3</w:t>
      </w:r>
      <w:r>
        <w:rPr>
          <w:rFonts w:hAnsi="宋体"/>
          <w:color w:val="auto"/>
          <w:kern w:val="2"/>
          <w:sz w:val="24"/>
          <w:szCs w:val="24"/>
          <w:highlight w:val="none"/>
        </w:rPr>
        <w:t>1</w:t>
      </w:r>
      <w:r>
        <w:rPr>
          <w:rFonts w:hint="eastAsia" w:hAnsi="宋体"/>
          <w:color w:val="auto"/>
          <w:kern w:val="2"/>
          <w:sz w:val="24"/>
          <w:szCs w:val="24"/>
          <w:highlight w:val="none"/>
        </w:rPr>
        <w:t>日。</w:t>
      </w:r>
    </w:p>
    <w:p w14:paraId="35CA3518">
      <w:pPr>
        <w:spacing w:line="360" w:lineRule="auto"/>
        <w:ind w:firstLine="482"/>
        <w:rPr>
          <w:rFonts w:hAnsi="宋体"/>
          <w:b/>
          <w:color w:val="auto"/>
          <w:sz w:val="24"/>
          <w:szCs w:val="24"/>
          <w:highlight w:val="none"/>
        </w:rPr>
      </w:pPr>
      <w:r>
        <w:rPr>
          <w:rFonts w:hint="eastAsia" w:hAnsi="宋体"/>
          <w:b/>
          <w:color w:val="auto"/>
          <w:sz w:val="24"/>
          <w:szCs w:val="24"/>
          <w:highlight w:val="none"/>
        </w:rPr>
        <w:t>三、采购需求：</w:t>
      </w:r>
    </w:p>
    <w:p w14:paraId="45272E7F">
      <w:pPr>
        <w:shd w:val="clear" w:color="auto" w:fill="FFFFFF"/>
        <w:spacing w:line="360" w:lineRule="auto"/>
        <w:ind w:firstLine="480"/>
        <w:rPr>
          <w:rFonts w:hAnsi="宋体"/>
          <w:bCs/>
          <w:color w:val="auto"/>
          <w:sz w:val="24"/>
          <w:szCs w:val="24"/>
          <w:highlight w:val="none"/>
        </w:rPr>
      </w:pPr>
      <w:r>
        <w:rPr>
          <w:rFonts w:hint="eastAsia" w:hAnsi="宋体"/>
          <w:bCs/>
          <w:color w:val="auto"/>
          <w:sz w:val="24"/>
          <w:szCs w:val="24"/>
          <w:highlight w:val="none"/>
        </w:rPr>
        <w:t>（一）公路范围：</w:t>
      </w:r>
    </w:p>
    <w:p w14:paraId="1BD245C4">
      <w:pPr>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1、县级：城蓬线、浏昆线、浏双线、双浮线（G346~G204段暂未按G634接养，计入县道里程，后期根据实际接养情况进行调整）、南鹿线、陆璜线、岳鹿线、太沙线等8 条县道（已扣除主城核心区及娄江新城属地管养段），以及G204 辅道、东亭线、G204锡太上跨桥东西匝道、S359岳鹿线上跨桥南北匝道、浏双线广州路段、双浮路双凤段、太浏快速路（沪通铁路一期~G346）等参照县道管养线路，列养里程合计151.634km（具体养护里程每年根据实际列养里程为准）。</w:t>
      </w:r>
    </w:p>
    <w:p w14:paraId="672658D0">
      <w:pPr>
        <w:snapToGrid w:val="0"/>
        <w:spacing w:line="360" w:lineRule="auto"/>
        <w:ind w:firstLine="482"/>
        <w:rPr>
          <w:rFonts w:hAnsi="宋体"/>
          <w:bCs/>
          <w:color w:val="auto"/>
          <w:sz w:val="24"/>
          <w:szCs w:val="24"/>
          <w:highlight w:val="none"/>
        </w:rPr>
      </w:pPr>
      <w:r>
        <w:rPr>
          <w:rFonts w:hint="eastAsia" w:hAnsi="宋体"/>
          <w:color w:val="auto"/>
          <w:sz w:val="24"/>
          <w:szCs w:val="24"/>
          <w:highlight w:val="none"/>
        </w:rPr>
        <w:t>2、国省级：G204太仓段、S339太仓段、G346太仓段、S359太仓段等太仓市域范围内接养的普通国省道，总里程为103.937km（养护里程每年根据实际列养里程为准，合同期间涉及G634太仓段以实际接养情况计算里程）</w:t>
      </w:r>
    </w:p>
    <w:p w14:paraId="4D3252F5">
      <w:pPr>
        <w:snapToGrid w:val="0"/>
        <w:spacing w:line="360" w:lineRule="auto"/>
        <w:ind w:firstLine="482"/>
        <w:rPr>
          <w:rFonts w:hAnsi="宋体"/>
          <w:bCs/>
          <w:color w:val="auto"/>
          <w:sz w:val="24"/>
          <w:szCs w:val="24"/>
          <w:highlight w:val="none"/>
        </w:rPr>
      </w:pPr>
      <w:r>
        <w:rPr>
          <w:rFonts w:hint="eastAsia" w:hAnsi="宋体"/>
          <w:bCs/>
          <w:color w:val="auto"/>
          <w:sz w:val="24"/>
          <w:szCs w:val="24"/>
          <w:highlight w:val="none"/>
        </w:rPr>
        <w:t>（二）主要内容包括：</w:t>
      </w:r>
      <w:r>
        <w:rPr>
          <w:rFonts w:hint="eastAsia" w:hAnsi="宋体"/>
          <w:color w:val="auto"/>
          <w:sz w:val="24"/>
          <w:szCs w:val="24"/>
          <w:highlight w:val="none"/>
        </w:rPr>
        <w:t>太仓市公路路面（人工、机械）清扫保洁（含桥面、人行道）、路肩边坡割草、疏通边沟、清除路肩林带和分隔带杂物、桥梁伸缩缝清理保养、疏通桥梁泄水孔和分隔带泄水沟（孔）、积水路段开挖排水沟、沿线设施扶正和清洗、小广告清理、</w:t>
      </w:r>
      <w:r>
        <w:rPr>
          <w:rFonts w:hint="eastAsia" w:hAnsi="宋体"/>
          <w:color w:val="auto"/>
          <w:sz w:val="24"/>
          <w:szCs w:val="24"/>
          <w:highlight w:val="none"/>
          <w:lang w:val="zh-CN"/>
        </w:rPr>
        <w:t>日常综合养护、交通突发事故及恶劣天气应急处置等工作、应急基地运营</w:t>
      </w:r>
      <w:r>
        <w:rPr>
          <w:rFonts w:hint="eastAsia" w:hAnsi="宋体"/>
          <w:color w:val="auto"/>
          <w:sz w:val="24"/>
          <w:szCs w:val="24"/>
          <w:highlight w:val="none"/>
        </w:rPr>
        <w:t>等。</w:t>
      </w:r>
    </w:p>
    <w:p w14:paraId="3ADFE1E1">
      <w:pPr>
        <w:snapToGrid w:val="0"/>
        <w:spacing w:line="360" w:lineRule="auto"/>
        <w:ind w:firstLine="482"/>
        <w:rPr>
          <w:rFonts w:hAnsi="宋体"/>
          <w:b/>
          <w:bCs/>
          <w:color w:val="auto"/>
          <w:sz w:val="24"/>
          <w:szCs w:val="24"/>
          <w:highlight w:val="none"/>
        </w:rPr>
      </w:pPr>
      <w:r>
        <w:rPr>
          <w:rFonts w:hint="eastAsia" w:hAnsi="宋体"/>
          <w:b/>
          <w:bCs/>
          <w:color w:val="auto"/>
          <w:sz w:val="24"/>
          <w:szCs w:val="24"/>
          <w:highlight w:val="none"/>
        </w:rPr>
        <w:t>（三）服务范围</w:t>
      </w:r>
    </w:p>
    <w:tbl>
      <w:tblPr>
        <w:tblStyle w:val="42"/>
        <w:tblW w:w="4997" w:type="pct"/>
        <w:jc w:val="center"/>
        <w:tblLayout w:type="autofit"/>
        <w:tblCellMar>
          <w:top w:w="0" w:type="dxa"/>
          <w:left w:w="108" w:type="dxa"/>
          <w:bottom w:w="0" w:type="dxa"/>
          <w:right w:w="108" w:type="dxa"/>
        </w:tblCellMar>
      </w:tblPr>
      <w:tblGrid>
        <w:gridCol w:w="1287"/>
        <w:gridCol w:w="1868"/>
        <w:gridCol w:w="2930"/>
        <w:gridCol w:w="1588"/>
        <w:gridCol w:w="1778"/>
      </w:tblGrid>
      <w:tr w14:paraId="02EE3BB4">
        <w:tblPrEx>
          <w:tblCellMar>
            <w:top w:w="0" w:type="dxa"/>
            <w:left w:w="108" w:type="dxa"/>
            <w:bottom w:w="0" w:type="dxa"/>
            <w:right w:w="108" w:type="dxa"/>
          </w:tblCellMar>
        </w:tblPrEx>
        <w:trPr>
          <w:trHeight w:val="488" w:hRule="atLeast"/>
          <w:jc w:val="center"/>
        </w:trPr>
        <w:tc>
          <w:tcPr>
            <w:tcW w:w="681" w:type="pct"/>
            <w:tcBorders>
              <w:top w:val="single" w:color="auto" w:sz="4" w:space="0"/>
              <w:left w:val="single" w:color="auto" w:sz="4" w:space="0"/>
              <w:bottom w:val="single" w:color="auto" w:sz="4" w:space="0"/>
              <w:right w:val="single" w:color="auto" w:sz="4" w:space="0"/>
            </w:tcBorders>
            <w:vAlign w:val="center"/>
          </w:tcPr>
          <w:p w14:paraId="4630BD00">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区域</w:t>
            </w:r>
          </w:p>
        </w:tc>
        <w:tc>
          <w:tcPr>
            <w:tcW w:w="988" w:type="pct"/>
            <w:tcBorders>
              <w:top w:val="single" w:color="auto" w:sz="4" w:space="0"/>
              <w:left w:val="nil"/>
              <w:bottom w:val="single" w:color="auto" w:sz="4" w:space="0"/>
              <w:right w:val="single" w:color="auto" w:sz="4" w:space="0"/>
            </w:tcBorders>
            <w:vAlign w:val="center"/>
          </w:tcPr>
          <w:p w14:paraId="54A681DF">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线路名称</w:t>
            </w:r>
          </w:p>
        </w:tc>
        <w:tc>
          <w:tcPr>
            <w:tcW w:w="1549" w:type="pct"/>
            <w:tcBorders>
              <w:top w:val="single" w:color="auto" w:sz="4" w:space="0"/>
              <w:left w:val="nil"/>
              <w:bottom w:val="single" w:color="auto" w:sz="4" w:space="0"/>
              <w:right w:val="single" w:color="auto" w:sz="4" w:space="0"/>
            </w:tcBorders>
            <w:vAlign w:val="center"/>
          </w:tcPr>
          <w:p w14:paraId="3328EB39">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起讫点</w:t>
            </w:r>
          </w:p>
        </w:tc>
        <w:tc>
          <w:tcPr>
            <w:tcW w:w="839" w:type="pct"/>
            <w:tcBorders>
              <w:top w:val="single" w:color="auto" w:sz="4" w:space="0"/>
              <w:left w:val="nil"/>
              <w:bottom w:val="single" w:color="auto" w:sz="4" w:space="0"/>
              <w:right w:val="single" w:color="auto" w:sz="4" w:space="0"/>
            </w:tcBorders>
            <w:vAlign w:val="center"/>
          </w:tcPr>
          <w:p w14:paraId="25BCCD6C">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范围</w:t>
            </w:r>
          </w:p>
        </w:tc>
        <w:tc>
          <w:tcPr>
            <w:tcW w:w="940" w:type="pct"/>
            <w:tcBorders>
              <w:top w:val="single" w:color="auto" w:sz="4" w:space="0"/>
              <w:left w:val="nil"/>
              <w:bottom w:val="single" w:color="auto" w:sz="4" w:space="0"/>
              <w:right w:val="single" w:color="auto" w:sz="4" w:space="0"/>
            </w:tcBorders>
            <w:vAlign w:val="center"/>
          </w:tcPr>
          <w:p w14:paraId="515527EB">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里程（KM）</w:t>
            </w:r>
          </w:p>
        </w:tc>
      </w:tr>
      <w:tr w14:paraId="1AE49BB2">
        <w:tblPrEx>
          <w:tblCellMar>
            <w:top w:w="0" w:type="dxa"/>
            <w:left w:w="108" w:type="dxa"/>
            <w:bottom w:w="0" w:type="dxa"/>
            <w:right w:w="108" w:type="dxa"/>
          </w:tblCellMar>
        </w:tblPrEx>
        <w:trPr>
          <w:trHeight w:val="488" w:hRule="atLeast"/>
          <w:jc w:val="center"/>
        </w:trPr>
        <w:tc>
          <w:tcPr>
            <w:tcW w:w="681" w:type="pct"/>
            <w:vMerge w:val="restart"/>
            <w:tcBorders>
              <w:top w:val="single" w:color="auto" w:sz="4" w:space="0"/>
              <w:left w:val="single" w:color="auto" w:sz="4" w:space="0"/>
              <w:right w:val="single" w:color="auto" w:sz="4" w:space="0"/>
            </w:tcBorders>
            <w:vAlign w:val="center"/>
          </w:tcPr>
          <w:p w14:paraId="0D0FD7CB">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县级公路</w:t>
            </w:r>
          </w:p>
        </w:tc>
        <w:tc>
          <w:tcPr>
            <w:tcW w:w="988" w:type="pct"/>
            <w:tcBorders>
              <w:top w:val="single" w:color="auto" w:sz="4" w:space="0"/>
              <w:left w:val="nil"/>
              <w:bottom w:val="single" w:color="auto" w:sz="4" w:space="0"/>
              <w:right w:val="single" w:color="auto" w:sz="4" w:space="0"/>
            </w:tcBorders>
            <w:vAlign w:val="center"/>
          </w:tcPr>
          <w:p w14:paraId="7359B1A4">
            <w:pPr>
              <w:widowControl/>
              <w:spacing w:line="240" w:lineRule="atLeast"/>
              <w:jc w:val="center"/>
              <w:rPr>
                <w:rFonts w:hAnsi="宋体"/>
                <w:color w:val="auto"/>
                <w:sz w:val="21"/>
                <w:szCs w:val="21"/>
                <w:highlight w:val="none"/>
              </w:rPr>
            </w:pPr>
            <w:r>
              <w:rPr>
                <w:rFonts w:hint="eastAsia" w:hAnsi="宋体"/>
                <w:color w:val="auto"/>
                <w:sz w:val="21"/>
                <w:szCs w:val="21"/>
                <w:highlight w:val="none"/>
              </w:rPr>
              <w:t>城蓬线</w:t>
            </w:r>
          </w:p>
        </w:tc>
        <w:tc>
          <w:tcPr>
            <w:tcW w:w="1549" w:type="pct"/>
            <w:tcBorders>
              <w:top w:val="single" w:color="auto" w:sz="4" w:space="0"/>
              <w:left w:val="nil"/>
              <w:bottom w:val="single" w:color="auto" w:sz="4" w:space="0"/>
              <w:right w:val="single" w:color="auto" w:sz="4" w:space="0"/>
            </w:tcBorders>
            <w:vAlign w:val="center"/>
          </w:tcPr>
          <w:p w14:paraId="6509957C">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G204~昆山界</w:t>
            </w:r>
          </w:p>
        </w:tc>
        <w:tc>
          <w:tcPr>
            <w:tcW w:w="839" w:type="pct"/>
            <w:tcBorders>
              <w:top w:val="single" w:color="auto" w:sz="4" w:space="0"/>
              <w:left w:val="nil"/>
              <w:bottom w:val="single" w:color="auto" w:sz="4" w:space="0"/>
              <w:right w:val="single" w:color="auto" w:sz="4" w:space="0"/>
            </w:tcBorders>
            <w:vAlign w:val="center"/>
          </w:tcPr>
          <w:p w14:paraId="569B9A90">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vAlign w:val="center"/>
          </w:tcPr>
          <w:p w14:paraId="3D050ABD">
            <w:pPr>
              <w:widowControl/>
              <w:spacing w:line="240" w:lineRule="atLeast"/>
              <w:jc w:val="center"/>
              <w:rPr>
                <w:rFonts w:hAnsi="宋体"/>
                <w:color w:val="auto"/>
                <w:sz w:val="21"/>
                <w:szCs w:val="21"/>
                <w:highlight w:val="none"/>
              </w:rPr>
            </w:pPr>
            <w:r>
              <w:rPr>
                <w:rFonts w:hAnsi="宋体"/>
                <w:color w:val="auto"/>
                <w:sz w:val="21"/>
                <w:szCs w:val="21"/>
                <w:highlight w:val="none"/>
              </w:rPr>
              <w:t>3.856</w:t>
            </w:r>
          </w:p>
        </w:tc>
      </w:tr>
      <w:tr w14:paraId="40A84726">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57B9EA1C">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342F49DC">
            <w:pPr>
              <w:widowControl/>
              <w:spacing w:line="240" w:lineRule="atLeast"/>
              <w:jc w:val="center"/>
              <w:rPr>
                <w:rFonts w:hAnsi="宋体"/>
                <w:color w:val="auto"/>
                <w:sz w:val="21"/>
                <w:szCs w:val="21"/>
                <w:highlight w:val="none"/>
              </w:rPr>
            </w:pPr>
            <w:r>
              <w:rPr>
                <w:rFonts w:hint="eastAsia" w:hAnsi="宋体"/>
                <w:color w:val="auto"/>
                <w:sz w:val="21"/>
                <w:szCs w:val="21"/>
                <w:highlight w:val="none"/>
              </w:rPr>
              <w:t>浏昆线</w:t>
            </w:r>
          </w:p>
        </w:tc>
        <w:tc>
          <w:tcPr>
            <w:tcW w:w="1549" w:type="pct"/>
            <w:tcBorders>
              <w:top w:val="single" w:color="auto" w:sz="4" w:space="0"/>
              <w:left w:val="nil"/>
              <w:bottom w:val="single" w:color="auto" w:sz="4" w:space="0"/>
              <w:right w:val="single" w:color="auto" w:sz="4" w:space="0"/>
            </w:tcBorders>
            <w:vAlign w:val="center"/>
          </w:tcPr>
          <w:p w14:paraId="64C17F2A">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吴塘河桥~昆山界</w:t>
            </w:r>
          </w:p>
        </w:tc>
        <w:tc>
          <w:tcPr>
            <w:tcW w:w="839" w:type="pct"/>
            <w:tcBorders>
              <w:top w:val="single" w:color="auto" w:sz="4" w:space="0"/>
              <w:left w:val="nil"/>
              <w:bottom w:val="single" w:color="auto" w:sz="4" w:space="0"/>
              <w:right w:val="single" w:color="auto" w:sz="4" w:space="0"/>
            </w:tcBorders>
            <w:vAlign w:val="center"/>
          </w:tcPr>
          <w:p w14:paraId="1F7F6066">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shd w:val="clear" w:color="auto" w:fill="FFFFFF"/>
            <w:vAlign w:val="center"/>
          </w:tcPr>
          <w:p w14:paraId="685A9E34">
            <w:pPr>
              <w:widowControl/>
              <w:spacing w:line="240" w:lineRule="atLeast"/>
              <w:jc w:val="center"/>
              <w:rPr>
                <w:rFonts w:hAnsi="宋体"/>
                <w:color w:val="auto"/>
                <w:sz w:val="21"/>
                <w:szCs w:val="21"/>
                <w:highlight w:val="none"/>
              </w:rPr>
            </w:pPr>
            <w:r>
              <w:rPr>
                <w:rFonts w:hAnsi="宋体"/>
                <w:color w:val="auto"/>
                <w:sz w:val="21"/>
                <w:szCs w:val="21"/>
                <w:highlight w:val="none"/>
              </w:rPr>
              <w:t>9.337</w:t>
            </w:r>
          </w:p>
        </w:tc>
      </w:tr>
      <w:tr w14:paraId="0DC2CFC5">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28078ABB">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3213CD2A">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4E3FBE9F">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与闸北路交口~沪通铁路一期</w:t>
            </w:r>
          </w:p>
        </w:tc>
        <w:tc>
          <w:tcPr>
            <w:tcW w:w="839" w:type="pct"/>
            <w:tcBorders>
              <w:top w:val="single" w:color="auto" w:sz="4" w:space="0"/>
              <w:left w:val="nil"/>
              <w:bottom w:val="single" w:color="auto" w:sz="4" w:space="0"/>
              <w:right w:val="single" w:color="auto" w:sz="4" w:space="0"/>
            </w:tcBorders>
            <w:vAlign w:val="center"/>
          </w:tcPr>
          <w:p w14:paraId="346C9C11">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shd w:val="clear" w:color="auto" w:fill="FFFFFF"/>
            <w:vAlign w:val="center"/>
          </w:tcPr>
          <w:p w14:paraId="4E7CF94D">
            <w:pPr>
              <w:widowControl/>
              <w:spacing w:line="240" w:lineRule="atLeast"/>
              <w:jc w:val="center"/>
              <w:rPr>
                <w:rFonts w:hAnsi="宋体"/>
                <w:color w:val="auto"/>
                <w:sz w:val="21"/>
                <w:szCs w:val="21"/>
                <w:highlight w:val="none"/>
              </w:rPr>
            </w:pPr>
          </w:p>
        </w:tc>
      </w:tr>
      <w:tr w14:paraId="726E21C3">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8640D88">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5630D84B">
            <w:pPr>
              <w:widowControl/>
              <w:spacing w:line="240" w:lineRule="atLeast"/>
              <w:jc w:val="center"/>
              <w:rPr>
                <w:rFonts w:hAnsi="宋体"/>
                <w:color w:val="auto"/>
                <w:sz w:val="21"/>
                <w:szCs w:val="21"/>
                <w:highlight w:val="none"/>
              </w:rPr>
            </w:pPr>
            <w:r>
              <w:rPr>
                <w:rFonts w:hint="eastAsia" w:hAnsi="宋体"/>
                <w:color w:val="auto"/>
                <w:sz w:val="21"/>
                <w:szCs w:val="21"/>
                <w:highlight w:val="none"/>
              </w:rPr>
              <w:t>浏双线</w:t>
            </w:r>
          </w:p>
        </w:tc>
        <w:tc>
          <w:tcPr>
            <w:tcW w:w="1549" w:type="pct"/>
            <w:tcBorders>
              <w:top w:val="single" w:color="auto" w:sz="4" w:space="0"/>
              <w:left w:val="nil"/>
              <w:bottom w:val="single" w:color="auto" w:sz="4" w:space="0"/>
              <w:right w:val="single" w:color="auto" w:sz="4" w:space="0"/>
            </w:tcBorders>
            <w:vAlign w:val="center"/>
          </w:tcPr>
          <w:p w14:paraId="16B7B81C">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浮浏线交叉口~昆山界</w:t>
            </w:r>
          </w:p>
        </w:tc>
        <w:tc>
          <w:tcPr>
            <w:tcW w:w="839" w:type="pct"/>
            <w:tcBorders>
              <w:top w:val="single" w:color="auto" w:sz="4" w:space="0"/>
              <w:left w:val="nil"/>
              <w:bottom w:val="single" w:color="auto" w:sz="4" w:space="0"/>
              <w:right w:val="single" w:color="auto" w:sz="4" w:space="0"/>
            </w:tcBorders>
            <w:vAlign w:val="center"/>
          </w:tcPr>
          <w:p w14:paraId="1D308D48">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28617251">
            <w:pPr>
              <w:widowControl/>
              <w:spacing w:line="240" w:lineRule="atLeast"/>
              <w:jc w:val="center"/>
              <w:rPr>
                <w:rFonts w:hAnsi="宋体"/>
                <w:color w:val="auto"/>
                <w:sz w:val="21"/>
                <w:szCs w:val="21"/>
                <w:highlight w:val="none"/>
              </w:rPr>
            </w:pPr>
            <w:r>
              <w:rPr>
                <w:rFonts w:hAnsi="宋体"/>
                <w:color w:val="auto"/>
                <w:sz w:val="21"/>
                <w:szCs w:val="21"/>
                <w:highlight w:val="none"/>
              </w:rPr>
              <w:t>26.307</w:t>
            </w:r>
          </w:p>
        </w:tc>
      </w:tr>
      <w:tr w14:paraId="00DBF6C6">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B288C2C">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76BD1015">
            <w:pPr>
              <w:widowControl/>
              <w:spacing w:line="240" w:lineRule="atLeast"/>
              <w:jc w:val="center"/>
              <w:rPr>
                <w:rFonts w:hAnsi="宋体"/>
                <w:color w:val="auto"/>
                <w:sz w:val="21"/>
                <w:szCs w:val="21"/>
                <w:highlight w:val="none"/>
              </w:rPr>
            </w:pPr>
            <w:r>
              <w:rPr>
                <w:rFonts w:hint="eastAsia" w:hAnsi="宋体"/>
                <w:color w:val="auto"/>
                <w:sz w:val="21"/>
                <w:szCs w:val="21"/>
                <w:highlight w:val="none"/>
              </w:rPr>
              <w:t>双浮线（G634）</w:t>
            </w:r>
          </w:p>
        </w:tc>
        <w:tc>
          <w:tcPr>
            <w:tcW w:w="1549" w:type="pct"/>
            <w:tcBorders>
              <w:top w:val="single" w:color="auto" w:sz="4" w:space="0"/>
              <w:left w:val="nil"/>
              <w:bottom w:val="single" w:color="auto" w:sz="4" w:space="0"/>
              <w:right w:val="single" w:color="auto" w:sz="4" w:space="0"/>
            </w:tcBorders>
            <w:vAlign w:val="center"/>
          </w:tcPr>
          <w:p w14:paraId="11F901CE">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G346</w:t>
            </w:r>
            <w:r>
              <w:rPr>
                <w:rStyle w:val="429"/>
                <w:rFonts w:hint="default"/>
                <w:color w:val="auto"/>
                <w:sz w:val="21"/>
                <w:szCs w:val="21"/>
                <w:highlight w:val="none"/>
              </w:rPr>
              <w:t>~昆山界</w:t>
            </w:r>
          </w:p>
        </w:tc>
        <w:tc>
          <w:tcPr>
            <w:tcW w:w="839" w:type="pct"/>
            <w:tcBorders>
              <w:top w:val="single" w:color="auto" w:sz="4" w:space="0"/>
              <w:left w:val="nil"/>
              <w:bottom w:val="single" w:color="auto" w:sz="4" w:space="0"/>
              <w:right w:val="single" w:color="auto" w:sz="4" w:space="0"/>
            </w:tcBorders>
            <w:vAlign w:val="center"/>
          </w:tcPr>
          <w:p w14:paraId="03868289">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386982F7">
            <w:pPr>
              <w:widowControl/>
              <w:spacing w:line="240" w:lineRule="atLeast"/>
              <w:jc w:val="center"/>
              <w:rPr>
                <w:rFonts w:hAnsi="宋体"/>
                <w:color w:val="auto"/>
                <w:sz w:val="21"/>
                <w:szCs w:val="21"/>
                <w:highlight w:val="none"/>
              </w:rPr>
            </w:pPr>
            <w:r>
              <w:rPr>
                <w:rFonts w:hAnsi="宋体"/>
                <w:color w:val="auto"/>
                <w:sz w:val="21"/>
                <w:szCs w:val="21"/>
                <w:highlight w:val="none"/>
              </w:rPr>
              <w:t>21.908</w:t>
            </w:r>
          </w:p>
        </w:tc>
      </w:tr>
      <w:tr w14:paraId="435F0AFF">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A004400">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05B952E2">
            <w:pPr>
              <w:widowControl/>
              <w:spacing w:line="240" w:lineRule="atLeast"/>
              <w:jc w:val="center"/>
              <w:rPr>
                <w:rFonts w:hAnsi="宋体"/>
                <w:color w:val="auto"/>
                <w:sz w:val="21"/>
                <w:szCs w:val="21"/>
                <w:highlight w:val="none"/>
              </w:rPr>
            </w:pPr>
            <w:r>
              <w:rPr>
                <w:rFonts w:hint="eastAsia" w:hAnsi="宋体"/>
                <w:color w:val="auto"/>
                <w:sz w:val="21"/>
                <w:szCs w:val="21"/>
                <w:highlight w:val="none"/>
              </w:rPr>
              <w:t>南鹿线</w:t>
            </w:r>
          </w:p>
        </w:tc>
        <w:tc>
          <w:tcPr>
            <w:tcW w:w="1549" w:type="pct"/>
            <w:tcBorders>
              <w:top w:val="single" w:color="auto" w:sz="4" w:space="0"/>
              <w:left w:val="nil"/>
              <w:bottom w:val="single" w:color="auto" w:sz="4" w:space="0"/>
              <w:right w:val="single" w:color="auto" w:sz="4" w:space="0"/>
            </w:tcBorders>
            <w:vAlign w:val="center"/>
          </w:tcPr>
          <w:p w14:paraId="7538F647">
            <w:pPr>
              <w:widowControl/>
              <w:spacing w:line="240" w:lineRule="atLeast"/>
              <w:jc w:val="center"/>
              <w:textAlignment w:val="center"/>
              <w:rPr>
                <w:rFonts w:hAnsi="宋体"/>
                <w:b/>
                <w:bCs/>
                <w:color w:val="auto"/>
                <w:sz w:val="21"/>
                <w:szCs w:val="21"/>
                <w:highlight w:val="none"/>
              </w:rPr>
            </w:pPr>
            <w:r>
              <w:rPr>
                <w:rFonts w:hint="eastAsia" w:hAnsi="宋体"/>
                <w:color w:val="auto"/>
                <w:sz w:val="21"/>
                <w:szCs w:val="21"/>
                <w:highlight w:val="none"/>
              </w:rPr>
              <w:t>G346~太海汽渡</w:t>
            </w:r>
          </w:p>
        </w:tc>
        <w:tc>
          <w:tcPr>
            <w:tcW w:w="839" w:type="pct"/>
            <w:tcBorders>
              <w:top w:val="single" w:color="auto" w:sz="4" w:space="0"/>
              <w:left w:val="nil"/>
              <w:bottom w:val="single" w:color="auto" w:sz="4" w:space="0"/>
              <w:right w:val="single" w:color="auto" w:sz="4" w:space="0"/>
            </w:tcBorders>
            <w:vAlign w:val="center"/>
          </w:tcPr>
          <w:p w14:paraId="5FF6F5A7">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shd w:val="clear" w:color="auto" w:fill="FFFFFF"/>
            <w:vAlign w:val="center"/>
          </w:tcPr>
          <w:p w14:paraId="460747BC">
            <w:pPr>
              <w:widowControl/>
              <w:spacing w:line="240" w:lineRule="atLeast"/>
              <w:jc w:val="center"/>
              <w:rPr>
                <w:rFonts w:hAnsi="宋体"/>
                <w:color w:val="auto"/>
                <w:sz w:val="21"/>
                <w:szCs w:val="21"/>
                <w:highlight w:val="none"/>
              </w:rPr>
            </w:pPr>
            <w:r>
              <w:rPr>
                <w:rFonts w:hAnsi="宋体"/>
                <w:color w:val="auto"/>
                <w:sz w:val="21"/>
                <w:szCs w:val="21"/>
                <w:highlight w:val="none"/>
              </w:rPr>
              <w:t>9.305</w:t>
            </w:r>
          </w:p>
        </w:tc>
      </w:tr>
      <w:tr w14:paraId="7168C3FD">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52A575BC">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3F6C5593">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09FCD78B">
            <w:pPr>
              <w:widowControl/>
              <w:spacing w:line="240" w:lineRule="atLeast"/>
              <w:jc w:val="center"/>
              <w:textAlignment w:val="center"/>
              <w:rPr>
                <w:rFonts w:hAnsi="宋体"/>
                <w:b/>
                <w:bCs/>
                <w:color w:val="auto"/>
                <w:sz w:val="21"/>
                <w:szCs w:val="21"/>
                <w:highlight w:val="none"/>
              </w:rPr>
            </w:pPr>
            <w:r>
              <w:rPr>
                <w:rFonts w:hint="eastAsia" w:hAnsi="宋体"/>
                <w:color w:val="auto"/>
                <w:sz w:val="21"/>
                <w:szCs w:val="21"/>
                <w:highlight w:val="none"/>
              </w:rPr>
              <w:t>G346~草王路</w:t>
            </w:r>
          </w:p>
        </w:tc>
        <w:tc>
          <w:tcPr>
            <w:tcW w:w="839" w:type="pct"/>
            <w:tcBorders>
              <w:top w:val="single" w:color="auto" w:sz="4" w:space="0"/>
              <w:left w:val="nil"/>
              <w:bottom w:val="single" w:color="auto" w:sz="4" w:space="0"/>
              <w:right w:val="single" w:color="auto" w:sz="4" w:space="0"/>
            </w:tcBorders>
            <w:vAlign w:val="center"/>
          </w:tcPr>
          <w:p w14:paraId="5E3C2531">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shd w:val="clear" w:color="auto" w:fill="FFFFFF"/>
            <w:vAlign w:val="center"/>
          </w:tcPr>
          <w:p w14:paraId="403DAAE6">
            <w:pPr>
              <w:widowControl/>
              <w:spacing w:line="240" w:lineRule="atLeast"/>
              <w:jc w:val="center"/>
              <w:rPr>
                <w:rFonts w:hAnsi="宋体"/>
                <w:color w:val="auto"/>
                <w:sz w:val="21"/>
                <w:szCs w:val="21"/>
                <w:highlight w:val="none"/>
              </w:rPr>
            </w:pPr>
          </w:p>
        </w:tc>
      </w:tr>
      <w:tr w14:paraId="7F548ED0">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5BD887BD">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782BE6A5">
            <w:pPr>
              <w:widowControl/>
              <w:spacing w:line="240" w:lineRule="atLeast"/>
              <w:jc w:val="center"/>
              <w:rPr>
                <w:rFonts w:hAnsi="宋体"/>
                <w:color w:val="auto"/>
                <w:sz w:val="21"/>
                <w:szCs w:val="21"/>
                <w:highlight w:val="none"/>
              </w:rPr>
            </w:pPr>
            <w:r>
              <w:rPr>
                <w:rFonts w:hint="eastAsia" w:hAnsi="宋体"/>
                <w:color w:val="auto"/>
                <w:sz w:val="21"/>
                <w:szCs w:val="21"/>
                <w:highlight w:val="none"/>
              </w:rPr>
              <w:t>陆璜线</w:t>
            </w:r>
          </w:p>
        </w:tc>
        <w:tc>
          <w:tcPr>
            <w:tcW w:w="1549" w:type="pct"/>
            <w:tcBorders>
              <w:top w:val="single" w:color="auto" w:sz="4" w:space="0"/>
              <w:left w:val="nil"/>
              <w:bottom w:val="single" w:color="auto" w:sz="4" w:space="0"/>
              <w:right w:val="single" w:color="auto" w:sz="4" w:space="0"/>
            </w:tcBorders>
            <w:vAlign w:val="center"/>
          </w:tcPr>
          <w:p w14:paraId="77BC14C2">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双浮公路~苏昆太上跨桥</w:t>
            </w:r>
          </w:p>
        </w:tc>
        <w:tc>
          <w:tcPr>
            <w:tcW w:w="839" w:type="pct"/>
            <w:tcBorders>
              <w:top w:val="single" w:color="auto" w:sz="4" w:space="0"/>
              <w:left w:val="nil"/>
              <w:bottom w:val="single" w:color="auto" w:sz="4" w:space="0"/>
              <w:right w:val="single" w:color="auto" w:sz="4" w:space="0"/>
            </w:tcBorders>
            <w:vAlign w:val="center"/>
          </w:tcPr>
          <w:p w14:paraId="05B7F7FB">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shd w:val="clear" w:color="auto" w:fill="FFFFFF"/>
            <w:vAlign w:val="center"/>
          </w:tcPr>
          <w:p w14:paraId="34F27EAC">
            <w:pPr>
              <w:widowControl/>
              <w:spacing w:line="240" w:lineRule="atLeast"/>
              <w:jc w:val="center"/>
              <w:rPr>
                <w:rFonts w:hAnsi="宋体"/>
                <w:color w:val="auto"/>
                <w:sz w:val="21"/>
                <w:szCs w:val="21"/>
                <w:highlight w:val="none"/>
              </w:rPr>
            </w:pPr>
            <w:r>
              <w:rPr>
                <w:rFonts w:hAnsi="宋体"/>
                <w:color w:val="auto"/>
                <w:sz w:val="21"/>
                <w:szCs w:val="21"/>
                <w:highlight w:val="none"/>
              </w:rPr>
              <w:t>14.55</w:t>
            </w:r>
          </w:p>
        </w:tc>
      </w:tr>
      <w:tr w14:paraId="0408E556">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AB85B69">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2B7BD491">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1CF6BAFA">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双浮公路~岳鹿线</w:t>
            </w:r>
          </w:p>
        </w:tc>
        <w:tc>
          <w:tcPr>
            <w:tcW w:w="839" w:type="pct"/>
            <w:tcBorders>
              <w:top w:val="single" w:color="auto" w:sz="4" w:space="0"/>
              <w:left w:val="nil"/>
              <w:bottom w:val="single" w:color="auto" w:sz="4" w:space="0"/>
              <w:right w:val="single" w:color="auto" w:sz="4" w:space="0"/>
            </w:tcBorders>
            <w:vAlign w:val="center"/>
          </w:tcPr>
          <w:p w14:paraId="67F8661A">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shd w:val="clear" w:color="auto" w:fill="FFFFFF"/>
            <w:vAlign w:val="center"/>
          </w:tcPr>
          <w:p w14:paraId="396BEAE1">
            <w:pPr>
              <w:widowControl/>
              <w:spacing w:line="240" w:lineRule="atLeast"/>
              <w:jc w:val="center"/>
              <w:rPr>
                <w:rFonts w:hAnsi="宋体"/>
                <w:color w:val="auto"/>
                <w:sz w:val="21"/>
                <w:szCs w:val="21"/>
                <w:highlight w:val="none"/>
              </w:rPr>
            </w:pPr>
          </w:p>
        </w:tc>
      </w:tr>
      <w:tr w14:paraId="00266AC0">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DF99266">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58996CC9">
            <w:pPr>
              <w:widowControl/>
              <w:spacing w:line="240" w:lineRule="atLeast"/>
              <w:jc w:val="center"/>
              <w:rPr>
                <w:rFonts w:hAnsi="宋体"/>
                <w:color w:val="auto"/>
                <w:sz w:val="21"/>
                <w:szCs w:val="21"/>
                <w:highlight w:val="none"/>
              </w:rPr>
            </w:pPr>
            <w:r>
              <w:rPr>
                <w:rFonts w:hint="eastAsia" w:hAnsi="宋体"/>
                <w:color w:val="auto"/>
                <w:sz w:val="21"/>
                <w:szCs w:val="21"/>
                <w:highlight w:val="none"/>
              </w:rPr>
              <w:t>岳鹿线</w:t>
            </w:r>
          </w:p>
        </w:tc>
        <w:tc>
          <w:tcPr>
            <w:tcW w:w="1549" w:type="pct"/>
            <w:tcBorders>
              <w:top w:val="single" w:color="auto" w:sz="4" w:space="0"/>
              <w:left w:val="nil"/>
              <w:bottom w:val="single" w:color="auto" w:sz="4" w:space="0"/>
              <w:right w:val="single" w:color="auto" w:sz="4" w:space="0"/>
            </w:tcBorders>
            <w:vAlign w:val="center"/>
          </w:tcPr>
          <w:p w14:paraId="2A356877">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双浮公路~鹿河转盘</w:t>
            </w:r>
          </w:p>
        </w:tc>
        <w:tc>
          <w:tcPr>
            <w:tcW w:w="839" w:type="pct"/>
            <w:tcBorders>
              <w:top w:val="single" w:color="auto" w:sz="4" w:space="0"/>
              <w:left w:val="nil"/>
              <w:bottom w:val="single" w:color="auto" w:sz="4" w:space="0"/>
              <w:right w:val="single" w:color="auto" w:sz="4" w:space="0"/>
            </w:tcBorders>
            <w:vAlign w:val="center"/>
          </w:tcPr>
          <w:p w14:paraId="326295A4">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shd w:val="clear" w:color="auto" w:fill="FFFFFF"/>
            <w:vAlign w:val="center"/>
          </w:tcPr>
          <w:p w14:paraId="74E87B14">
            <w:pPr>
              <w:widowControl/>
              <w:spacing w:line="240" w:lineRule="atLeast"/>
              <w:jc w:val="center"/>
              <w:rPr>
                <w:rFonts w:hAnsi="宋体"/>
                <w:color w:val="auto"/>
                <w:sz w:val="21"/>
                <w:szCs w:val="21"/>
                <w:highlight w:val="none"/>
              </w:rPr>
            </w:pPr>
            <w:r>
              <w:rPr>
                <w:rFonts w:hAnsi="宋体"/>
                <w:color w:val="auto"/>
                <w:sz w:val="21"/>
                <w:szCs w:val="21"/>
                <w:highlight w:val="none"/>
              </w:rPr>
              <w:t>24.976</w:t>
            </w:r>
          </w:p>
        </w:tc>
      </w:tr>
      <w:tr w14:paraId="291A861E">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47605518">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04E7BB79">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43A8E743">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双浮公路~苏昆太上跨桥</w:t>
            </w:r>
          </w:p>
        </w:tc>
        <w:tc>
          <w:tcPr>
            <w:tcW w:w="839" w:type="pct"/>
            <w:tcBorders>
              <w:top w:val="single" w:color="auto" w:sz="4" w:space="0"/>
              <w:left w:val="nil"/>
              <w:bottom w:val="single" w:color="auto" w:sz="4" w:space="0"/>
              <w:right w:val="single" w:color="auto" w:sz="4" w:space="0"/>
            </w:tcBorders>
            <w:vAlign w:val="center"/>
          </w:tcPr>
          <w:p w14:paraId="67A2EE7F">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shd w:val="clear" w:color="auto" w:fill="FFFFFF"/>
            <w:vAlign w:val="center"/>
          </w:tcPr>
          <w:p w14:paraId="14A2A720">
            <w:pPr>
              <w:widowControl/>
              <w:spacing w:line="240" w:lineRule="atLeast"/>
              <w:jc w:val="center"/>
              <w:rPr>
                <w:rFonts w:hAnsi="宋体"/>
                <w:color w:val="auto"/>
                <w:sz w:val="21"/>
                <w:szCs w:val="21"/>
                <w:highlight w:val="none"/>
              </w:rPr>
            </w:pPr>
          </w:p>
        </w:tc>
      </w:tr>
      <w:tr w14:paraId="71B6ADFA">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3901C893">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2CC3643E">
            <w:pPr>
              <w:widowControl/>
              <w:spacing w:line="240" w:lineRule="atLeast"/>
              <w:jc w:val="center"/>
              <w:rPr>
                <w:rFonts w:hAnsi="宋体"/>
                <w:color w:val="auto"/>
                <w:sz w:val="21"/>
                <w:szCs w:val="21"/>
                <w:highlight w:val="none"/>
              </w:rPr>
            </w:pPr>
            <w:r>
              <w:rPr>
                <w:rFonts w:hint="eastAsia" w:hAnsi="宋体"/>
                <w:color w:val="auto"/>
                <w:sz w:val="21"/>
                <w:szCs w:val="21"/>
                <w:highlight w:val="none"/>
              </w:rPr>
              <w:t>太沙线</w:t>
            </w:r>
          </w:p>
        </w:tc>
        <w:tc>
          <w:tcPr>
            <w:tcW w:w="1549" w:type="pct"/>
            <w:tcBorders>
              <w:top w:val="single" w:color="auto" w:sz="4" w:space="0"/>
              <w:left w:val="nil"/>
              <w:bottom w:val="single" w:color="auto" w:sz="4" w:space="0"/>
              <w:right w:val="single" w:color="auto" w:sz="4" w:space="0"/>
            </w:tcBorders>
            <w:vAlign w:val="center"/>
          </w:tcPr>
          <w:p w14:paraId="35A649DE">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浏双公路~北京路</w:t>
            </w:r>
          </w:p>
        </w:tc>
        <w:tc>
          <w:tcPr>
            <w:tcW w:w="839" w:type="pct"/>
            <w:tcBorders>
              <w:top w:val="single" w:color="auto" w:sz="4" w:space="0"/>
              <w:left w:val="nil"/>
              <w:bottom w:val="single" w:color="auto" w:sz="4" w:space="0"/>
              <w:right w:val="single" w:color="auto" w:sz="4" w:space="0"/>
            </w:tcBorders>
            <w:vAlign w:val="center"/>
          </w:tcPr>
          <w:p w14:paraId="4A9EC8D1">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shd w:val="clear" w:color="auto" w:fill="FFFFFF"/>
            <w:vAlign w:val="center"/>
          </w:tcPr>
          <w:p w14:paraId="68412836">
            <w:pPr>
              <w:widowControl/>
              <w:spacing w:line="240" w:lineRule="atLeast"/>
              <w:jc w:val="center"/>
              <w:rPr>
                <w:rFonts w:hAnsi="宋体"/>
                <w:color w:val="auto"/>
                <w:sz w:val="21"/>
                <w:szCs w:val="21"/>
                <w:highlight w:val="none"/>
              </w:rPr>
            </w:pPr>
            <w:r>
              <w:rPr>
                <w:rFonts w:hAnsi="宋体"/>
                <w:color w:val="auto"/>
                <w:sz w:val="21"/>
                <w:szCs w:val="21"/>
                <w:highlight w:val="none"/>
              </w:rPr>
              <w:t>10.093</w:t>
            </w:r>
          </w:p>
        </w:tc>
      </w:tr>
      <w:tr w14:paraId="767CAD73">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272DA62">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502BBA68">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3DED9965">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东亭大桥~印溪路</w:t>
            </w:r>
          </w:p>
        </w:tc>
        <w:tc>
          <w:tcPr>
            <w:tcW w:w="839" w:type="pct"/>
            <w:tcBorders>
              <w:top w:val="single" w:color="auto" w:sz="4" w:space="0"/>
              <w:left w:val="nil"/>
              <w:bottom w:val="single" w:color="auto" w:sz="4" w:space="0"/>
              <w:right w:val="single" w:color="auto" w:sz="4" w:space="0"/>
            </w:tcBorders>
            <w:vAlign w:val="center"/>
          </w:tcPr>
          <w:p w14:paraId="2839D9CD">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shd w:val="clear" w:color="auto" w:fill="FFFFFF"/>
            <w:vAlign w:val="center"/>
          </w:tcPr>
          <w:p w14:paraId="37BB4676">
            <w:pPr>
              <w:widowControl/>
              <w:spacing w:line="240" w:lineRule="atLeast"/>
              <w:jc w:val="center"/>
              <w:rPr>
                <w:rFonts w:hAnsi="宋体"/>
                <w:color w:val="auto"/>
                <w:sz w:val="21"/>
                <w:szCs w:val="21"/>
                <w:highlight w:val="none"/>
              </w:rPr>
            </w:pPr>
          </w:p>
        </w:tc>
      </w:tr>
      <w:tr w14:paraId="68EA859D">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6DA5AAB4">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1C4016E4">
            <w:pPr>
              <w:widowControl/>
              <w:spacing w:line="240" w:lineRule="atLeast"/>
              <w:jc w:val="center"/>
              <w:rPr>
                <w:rFonts w:hAnsi="宋体"/>
                <w:color w:val="auto"/>
                <w:sz w:val="21"/>
                <w:szCs w:val="21"/>
                <w:highlight w:val="none"/>
              </w:rPr>
            </w:pPr>
            <w:r>
              <w:rPr>
                <w:rFonts w:hint="eastAsia" w:hAnsi="宋体"/>
                <w:color w:val="auto"/>
                <w:sz w:val="21"/>
                <w:szCs w:val="21"/>
                <w:highlight w:val="none"/>
              </w:rPr>
              <w:t>G204西辅道</w:t>
            </w:r>
          </w:p>
        </w:tc>
        <w:tc>
          <w:tcPr>
            <w:tcW w:w="1549" w:type="pct"/>
            <w:tcBorders>
              <w:top w:val="single" w:color="auto" w:sz="4" w:space="0"/>
              <w:left w:val="nil"/>
              <w:bottom w:val="single" w:color="auto" w:sz="4" w:space="0"/>
              <w:right w:val="single" w:color="auto" w:sz="4" w:space="0"/>
            </w:tcBorders>
            <w:vAlign w:val="center"/>
          </w:tcPr>
          <w:p w14:paraId="5692E923">
            <w:pPr>
              <w:widowControl/>
              <w:spacing w:line="240" w:lineRule="atLeast"/>
              <w:jc w:val="center"/>
              <w:textAlignment w:val="center"/>
              <w:rPr>
                <w:rFonts w:hAnsi="宋体"/>
                <w:b/>
                <w:bCs/>
                <w:color w:val="auto"/>
                <w:sz w:val="21"/>
                <w:szCs w:val="21"/>
                <w:highlight w:val="none"/>
              </w:rPr>
            </w:pPr>
            <w:r>
              <w:rPr>
                <w:rFonts w:hint="eastAsia" w:hAnsi="宋体"/>
                <w:color w:val="auto"/>
                <w:sz w:val="21"/>
                <w:szCs w:val="21"/>
                <w:highlight w:val="none"/>
              </w:rPr>
              <w:t>浏双线~弇山路</w:t>
            </w:r>
          </w:p>
        </w:tc>
        <w:tc>
          <w:tcPr>
            <w:tcW w:w="839" w:type="pct"/>
            <w:tcBorders>
              <w:top w:val="single" w:color="auto" w:sz="4" w:space="0"/>
              <w:left w:val="nil"/>
              <w:bottom w:val="single" w:color="auto" w:sz="4" w:space="0"/>
              <w:right w:val="single" w:color="auto" w:sz="4" w:space="0"/>
            </w:tcBorders>
            <w:vAlign w:val="center"/>
          </w:tcPr>
          <w:p w14:paraId="28927793">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0707A7A3">
            <w:pPr>
              <w:widowControl/>
              <w:spacing w:line="240" w:lineRule="atLeast"/>
              <w:jc w:val="center"/>
              <w:rPr>
                <w:rFonts w:hAnsi="宋体"/>
                <w:color w:val="auto"/>
                <w:sz w:val="21"/>
                <w:szCs w:val="21"/>
                <w:highlight w:val="none"/>
              </w:rPr>
            </w:pPr>
            <w:r>
              <w:rPr>
                <w:rFonts w:hAnsi="宋体"/>
                <w:color w:val="auto"/>
                <w:sz w:val="21"/>
                <w:szCs w:val="21"/>
                <w:highlight w:val="none"/>
              </w:rPr>
              <w:t>4.156</w:t>
            </w:r>
          </w:p>
        </w:tc>
      </w:tr>
      <w:tr w14:paraId="3E72BA12">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76EFD318">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079107DE">
            <w:pPr>
              <w:widowControl/>
              <w:spacing w:line="240" w:lineRule="atLeast"/>
              <w:jc w:val="center"/>
              <w:rPr>
                <w:rFonts w:hAnsi="宋体"/>
                <w:color w:val="auto"/>
                <w:sz w:val="21"/>
                <w:szCs w:val="21"/>
                <w:highlight w:val="none"/>
              </w:rPr>
            </w:pPr>
            <w:r>
              <w:rPr>
                <w:rFonts w:hint="eastAsia" w:hAnsi="宋体"/>
                <w:color w:val="auto"/>
                <w:sz w:val="21"/>
                <w:szCs w:val="21"/>
                <w:highlight w:val="none"/>
              </w:rPr>
              <w:t>G204东辅道</w:t>
            </w:r>
          </w:p>
        </w:tc>
        <w:tc>
          <w:tcPr>
            <w:tcW w:w="1549" w:type="pct"/>
            <w:tcBorders>
              <w:top w:val="single" w:color="auto" w:sz="4" w:space="0"/>
              <w:left w:val="nil"/>
              <w:bottom w:val="single" w:color="auto" w:sz="4" w:space="0"/>
              <w:right w:val="single" w:color="auto" w:sz="4" w:space="0"/>
            </w:tcBorders>
            <w:vAlign w:val="center"/>
          </w:tcPr>
          <w:p w14:paraId="481F07FD">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浏双线~弇山路</w:t>
            </w:r>
          </w:p>
        </w:tc>
        <w:tc>
          <w:tcPr>
            <w:tcW w:w="839" w:type="pct"/>
            <w:tcBorders>
              <w:top w:val="single" w:color="auto" w:sz="4" w:space="0"/>
              <w:left w:val="nil"/>
              <w:bottom w:val="single" w:color="auto" w:sz="4" w:space="0"/>
              <w:right w:val="single" w:color="auto" w:sz="4" w:space="0"/>
            </w:tcBorders>
            <w:vAlign w:val="center"/>
          </w:tcPr>
          <w:p w14:paraId="213C819F">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45454DBF">
            <w:pPr>
              <w:widowControl/>
              <w:spacing w:line="240" w:lineRule="atLeast"/>
              <w:jc w:val="center"/>
              <w:rPr>
                <w:rFonts w:hAnsi="宋体"/>
                <w:color w:val="auto"/>
                <w:sz w:val="21"/>
                <w:szCs w:val="21"/>
                <w:highlight w:val="none"/>
              </w:rPr>
            </w:pPr>
            <w:r>
              <w:rPr>
                <w:rFonts w:hAnsi="宋体"/>
                <w:color w:val="auto"/>
                <w:sz w:val="21"/>
                <w:szCs w:val="21"/>
                <w:highlight w:val="none"/>
              </w:rPr>
              <w:t>4.159</w:t>
            </w:r>
          </w:p>
        </w:tc>
      </w:tr>
      <w:tr w14:paraId="396F7054">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541B0E07">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1FC81B93">
            <w:pPr>
              <w:widowControl/>
              <w:spacing w:line="240" w:lineRule="atLeast"/>
              <w:jc w:val="center"/>
              <w:rPr>
                <w:rFonts w:hAnsi="宋体"/>
                <w:color w:val="auto"/>
                <w:sz w:val="21"/>
                <w:szCs w:val="21"/>
                <w:highlight w:val="none"/>
              </w:rPr>
            </w:pPr>
            <w:r>
              <w:rPr>
                <w:rFonts w:hint="eastAsia" w:hAnsi="宋体"/>
                <w:color w:val="auto"/>
                <w:sz w:val="21"/>
                <w:szCs w:val="21"/>
                <w:highlight w:val="none"/>
              </w:rPr>
              <w:t>东亭线</w:t>
            </w:r>
          </w:p>
        </w:tc>
        <w:tc>
          <w:tcPr>
            <w:tcW w:w="1549" w:type="pct"/>
            <w:tcBorders>
              <w:top w:val="single" w:color="auto" w:sz="4" w:space="0"/>
              <w:left w:val="nil"/>
              <w:bottom w:val="single" w:color="auto" w:sz="4" w:space="0"/>
              <w:right w:val="single" w:color="auto" w:sz="4" w:space="0"/>
            </w:tcBorders>
            <w:vAlign w:val="center"/>
          </w:tcPr>
          <w:p w14:paraId="28F1EE39">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浏双线交叉口~大连路</w:t>
            </w:r>
          </w:p>
        </w:tc>
        <w:tc>
          <w:tcPr>
            <w:tcW w:w="839" w:type="pct"/>
            <w:tcBorders>
              <w:top w:val="single" w:color="auto" w:sz="4" w:space="0"/>
              <w:left w:val="nil"/>
              <w:bottom w:val="single" w:color="auto" w:sz="4" w:space="0"/>
              <w:right w:val="single" w:color="auto" w:sz="4" w:space="0"/>
            </w:tcBorders>
            <w:vAlign w:val="center"/>
          </w:tcPr>
          <w:p w14:paraId="57350BD6">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134A6320">
            <w:pPr>
              <w:widowControl/>
              <w:spacing w:line="240" w:lineRule="atLeast"/>
              <w:jc w:val="center"/>
              <w:rPr>
                <w:rFonts w:hAnsi="宋体"/>
                <w:color w:val="auto"/>
                <w:sz w:val="21"/>
                <w:szCs w:val="21"/>
                <w:highlight w:val="none"/>
              </w:rPr>
            </w:pPr>
            <w:r>
              <w:rPr>
                <w:rFonts w:hAnsi="宋体"/>
                <w:color w:val="auto"/>
                <w:sz w:val="21"/>
                <w:szCs w:val="21"/>
                <w:highlight w:val="none"/>
              </w:rPr>
              <w:t xml:space="preserve">0.704 </w:t>
            </w:r>
          </w:p>
        </w:tc>
      </w:tr>
      <w:tr w14:paraId="4C53AFBE">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6EFCE4C0">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250B3836">
            <w:pPr>
              <w:widowControl/>
              <w:spacing w:line="240" w:lineRule="atLeast"/>
              <w:jc w:val="center"/>
              <w:rPr>
                <w:rFonts w:hAnsi="宋体"/>
                <w:color w:val="auto"/>
                <w:sz w:val="21"/>
                <w:szCs w:val="21"/>
                <w:highlight w:val="none"/>
              </w:rPr>
            </w:pPr>
            <w:r>
              <w:rPr>
                <w:rFonts w:hint="eastAsia" w:hAnsi="宋体"/>
                <w:color w:val="auto"/>
                <w:sz w:val="21"/>
                <w:szCs w:val="21"/>
                <w:highlight w:val="none"/>
              </w:rPr>
              <w:t>滨江大道</w:t>
            </w:r>
          </w:p>
        </w:tc>
        <w:tc>
          <w:tcPr>
            <w:tcW w:w="1549" w:type="pct"/>
            <w:tcBorders>
              <w:top w:val="single" w:color="auto" w:sz="4" w:space="0"/>
              <w:left w:val="nil"/>
              <w:bottom w:val="single" w:color="auto" w:sz="4" w:space="0"/>
              <w:right w:val="single" w:color="auto" w:sz="4" w:space="0"/>
            </w:tcBorders>
            <w:vAlign w:val="center"/>
          </w:tcPr>
          <w:p w14:paraId="383BA111">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G346~S339</w:t>
            </w:r>
          </w:p>
        </w:tc>
        <w:tc>
          <w:tcPr>
            <w:tcW w:w="839" w:type="pct"/>
            <w:tcBorders>
              <w:top w:val="single" w:color="auto" w:sz="4" w:space="0"/>
              <w:left w:val="nil"/>
              <w:bottom w:val="single" w:color="auto" w:sz="4" w:space="0"/>
              <w:right w:val="single" w:color="auto" w:sz="4" w:space="0"/>
            </w:tcBorders>
            <w:vAlign w:val="center"/>
          </w:tcPr>
          <w:p w14:paraId="6DE874E1">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2FFB1DE2">
            <w:pPr>
              <w:widowControl/>
              <w:spacing w:line="240" w:lineRule="atLeast"/>
              <w:jc w:val="center"/>
              <w:rPr>
                <w:rFonts w:hAnsi="宋体"/>
                <w:color w:val="auto"/>
                <w:sz w:val="21"/>
                <w:szCs w:val="21"/>
                <w:highlight w:val="none"/>
              </w:rPr>
            </w:pPr>
            <w:r>
              <w:rPr>
                <w:rFonts w:hAnsi="宋体"/>
                <w:color w:val="auto"/>
                <w:sz w:val="21"/>
                <w:szCs w:val="21"/>
                <w:highlight w:val="none"/>
              </w:rPr>
              <w:t xml:space="preserve">5.125 </w:t>
            </w:r>
          </w:p>
        </w:tc>
      </w:tr>
      <w:tr w14:paraId="04A0030D">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3174B3FC">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2347F32A">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vAlign w:val="center"/>
          </w:tcPr>
          <w:p w14:paraId="319DC3F5">
            <w:pPr>
              <w:widowControl/>
              <w:spacing w:line="240" w:lineRule="atLeast"/>
              <w:jc w:val="center"/>
              <w:rPr>
                <w:rFonts w:hAnsi="宋体"/>
                <w:color w:val="auto"/>
                <w:sz w:val="21"/>
                <w:szCs w:val="21"/>
                <w:highlight w:val="none"/>
              </w:rPr>
            </w:pPr>
            <w:r>
              <w:rPr>
                <w:rFonts w:hint="eastAsia" w:hAnsi="宋体"/>
                <w:color w:val="auto"/>
                <w:sz w:val="21"/>
                <w:szCs w:val="21"/>
                <w:highlight w:val="none"/>
              </w:rPr>
              <w:t>万方路~林场线</w:t>
            </w:r>
          </w:p>
        </w:tc>
        <w:tc>
          <w:tcPr>
            <w:tcW w:w="839" w:type="pct"/>
            <w:tcBorders>
              <w:top w:val="single" w:color="auto" w:sz="4" w:space="0"/>
              <w:left w:val="nil"/>
              <w:bottom w:val="single" w:color="auto" w:sz="4" w:space="0"/>
              <w:right w:val="single" w:color="auto" w:sz="4" w:space="0"/>
            </w:tcBorders>
            <w:vAlign w:val="center"/>
          </w:tcPr>
          <w:p w14:paraId="611FA3CD">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506F62FC">
            <w:pPr>
              <w:widowControl/>
              <w:spacing w:line="240" w:lineRule="atLeast"/>
              <w:jc w:val="center"/>
              <w:rPr>
                <w:rFonts w:hAnsi="宋体"/>
                <w:color w:val="auto"/>
                <w:sz w:val="21"/>
                <w:szCs w:val="21"/>
                <w:highlight w:val="none"/>
              </w:rPr>
            </w:pPr>
            <w:r>
              <w:rPr>
                <w:rFonts w:hint="eastAsia" w:hAnsi="宋体"/>
                <w:color w:val="auto"/>
                <w:sz w:val="21"/>
                <w:szCs w:val="21"/>
                <w:highlight w:val="none"/>
              </w:rPr>
              <w:t>2.622</w:t>
            </w:r>
          </w:p>
        </w:tc>
      </w:tr>
      <w:tr w14:paraId="582BC207">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9917EAC">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6AA0E145">
            <w:pPr>
              <w:widowControl/>
              <w:spacing w:line="240" w:lineRule="atLeast"/>
              <w:jc w:val="center"/>
              <w:rPr>
                <w:rFonts w:hAnsi="宋体"/>
                <w:color w:val="auto"/>
                <w:sz w:val="21"/>
                <w:szCs w:val="21"/>
                <w:highlight w:val="none"/>
              </w:rPr>
            </w:pPr>
            <w:r>
              <w:rPr>
                <w:rFonts w:hint="eastAsia" w:hAnsi="宋体"/>
                <w:color w:val="auto"/>
                <w:sz w:val="21"/>
                <w:szCs w:val="21"/>
                <w:highlight w:val="none"/>
              </w:rPr>
              <w:t>G204锡太上跨桥东匝道</w:t>
            </w:r>
          </w:p>
        </w:tc>
        <w:tc>
          <w:tcPr>
            <w:tcW w:w="1549" w:type="pct"/>
            <w:tcBorders>
              <w:top w:val="single" w:color="auto" w:sz="4" w:space="0"/>
              <w:left w:val="nil"/>
              <w:bottom w:val="single" w:color="auto" w:sz="4" w:space="0"/>
              <w:right w:val="single" w:color="auto" w:sz="4" w:space="0"/>
            </w:tcBorders>
            <w:vAlign w:val="center"/>
          </w:tcPr>
          <w:p w14:paraId="07BF1AE8">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锡太上跨桥北~锡太上跨桥南</w:t>
            </w:r>
          </w:p>
        </w:tc>
        <w:tc>
          <w:tcPr>
            <w:tcW w:w="839" w:type="pct"/>
            <w:tcBorders>
              <w:top w:val="single" w:color="auto" w:sz="4" w:space="0"/>
              <w:left w:val="nil"/>
              <w:bottom w:val="single" w:color="auto" w:sz="4" w:space="0"/>
              <w:right w:val="single" w:color="auto" w:sz="4" w:space="0"/>
            </w:tcBorders>
            <w:vAlign w:val="center"/>
          </w:tcPr>
          <w:p w14:paraId="419B6276">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198717B4">
            <w:pPr>
              <w:widowControl/>
              <w:spacing w:line="240" w:lineRule="atLeast"/>
              <w:jc w:val="center"/>
              <w:rPr>
                <w:rFonts w:hAnsi="宋体"/>
                <w:color w:val="auto"/>
                <w:sz w:val="21"/>
                <w:szCs w:val="21"/>
                <w:highlight w:val="none"/>
              </w:rPr>
            </w:pPr>
            <w:r>
              <w:rPr>
                <w:rFonts w:hAnsi="宋体"/>
                <w:color w:val="auto"/>
                <w:sz w:val="21"/>
                <w:szCs w:val="21"/>
                <w:highlight w:val="none"/>
              </w:rPr>
              <w:t>1.465</w:t>
            </w:r>
          </w:p>
        </w:tc>
      </w:tr>
      <w:tr w14:paraId="4A96B979">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2DEAF164">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59DBD13F">
            <w:pPr>
              <w:widowControl/>
              <w:spacing w:line="240" w:lineRule="atLeast"/>
              <w:jc w:val="center"/>
              <w:rPr>
                <w:rFonts w:hAnsi="宋体"/>
                <w:color w:val="auto"/>
                <w:sz w:val="21"/>
                <w:szCs w:val="21"/>
                <w:highlight w:val="none"/>
              </w:rPr>
            </w:pPr>
            <w:r>
              <w:rPr>
                <w:rFonts w:hint="eastAsia" w:hAnsi="宋体"/>
                <w:color w:val="auto"/>
                <w:sz w:val="21"/>
                <w:szCs w:val="21"/>
                <w:highlight w:val="none"/>
              </w:rPr>
              <w:t>G204锡太上跨桥西匝道</w:t>
            </w:r>
          </w:p>
        </w:tc>
        <w:tc>
          <w:tcPr>
            <w:tcW w:w="1549" w:type="pct"/>
            <w:tcBorders>
              <w:top w:val="single" w:color="auto" w:sz="4" w:space="0"/>
              <w:left w:val="nil"/>
              <w:bottom w:val="single" w:color="auto" w:sz="4" w:space="0"/>
              <w:right w:val="single" w:color="auto" w:sz="4" w:space="0"/>
            </w:tcBorders>
            <w:vAlign w:val="center"/>
          </w:tcPr>
          <w:p w14:paraId="3CB7DF09">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锡太上跨桥北~锡太上跨桥南</w:t>
            </w:r>
          </w:p>
        </w:tc>
        <w:tc>
          <w:tcPr>
            <w:tcW w:w="839" w:type="pct"/>
            <w:tcBorders>
              <w:top w:val="single" w:color="auto" w:sz="4" w:space="0"/>
              <w:left w:val="nil"/>
              <w:bottom w:val="single" w:color="auto" w:sz="4" w:space="0"/>
              <w:right w:val="single" w:color="auto" w:sz="4" w:space="0"/>
            </w:tcBorders>
            <w:vAlign w:val="center"/>
          </w:tcPr>
          <w:p w14:paraId="055C2D77">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31D0C1BD">
            <w:pPr>
              <w:widowControl/>
              <w:spacing w:line="240" w:lineRule="atLeast"/>
              <w:jc w:val="center"/>
              <w:rPr>
                <w:rFonts w:hAnsi="宋体"/>
                <w:color w:val="auto"/>
                <w:sz w:val="21"/>
                <w:szCs w:val="21"/>
                <w:highlight w:val="none"/>
              </w:rPr>
            </w:pPr>
            <w:r>
              <w:rPr>
                <w:rFonts w:hAnsi="宋体"/>
                <w:color w:val="auto"/>
                <w:sz w:val="21"/>
                <w:szCs w:val="21"/>
                <w:highlight w:val="none"/>
              </w:rPr>
              <w:t>1.505</w:t>
            </w:r>
          </w:p>
        </w:tc>
      </w:tr>
      <w:tr w14:paraId="7D574F1B">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628B672">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6A72C435">
            <w:pPr>
              <w:widowControl/>
              <w:spacing w:line="240" w:lineRule="atLeast"/>
              <w:jc w:val="center"/>
              <w:rPr>
                <w:rFonts w:hAnsi="宋体"/>
                <w:color w:val="auto"/>
                <w:sz w:val="21"/>
                <w:szCs w:val="21"/>
                <w:highlight w:val="none"/>
              </w:rPr>
            </w:pPr>
            <w:r>
              <w:rPr>
                <w:rFonts w:hint="eastAsia" w:hAnsi="宋体"/>
                <w:color w:val="auto"/>
                <w:sz w:val="21"/>
                <w:szCs w:val="21"/>
                <w:highlight w:val="none"/>
              </w:rPr>
              <w:t>S359岳鹿线上跨桥北匝道</w:t>
            </w:r>
          </w:p>
        </w:tc>
        <w:tc>
          <w:tcPr>
            <w:tcW w:w="1549" w:type="pct"/>
            <w:tcBorders>
              <w:top w:val="single" w:color="auto" w:sz="4" w:space="0"/>
              <w:left w:val="nil"/>
              <w:bottom w:val="single" w:color="auto" w:sz="4" w:space="0"/>
              <w:right w:val="single" w:color="auto" w:sz="4" w:space="0"/>
            </w:tcBorders>
            <w:vAlign w:val="center"/>
          </w:tcPr>
          <w:p w14:paraId="672D2EEB">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S359岳鹿线上跨桥北匝道起点~S359岳鹿线上跨桥北匝道讫点</w:t>
            </w:r>
          </w:p>
        </w:tc>
        <w:tc>
          <w:tcPr>
            <w:tcW w:w="839" w:type="pct"/>
            <w:tcBorders>
              <w:top w:val="single" w:color="auto" w:sz="4" w:space="0"/>
              <w:left w:val="nil"/>
              <w:bottom w:val="single" w:color="auto" w:sz="4" w:space="0"/>
              <w:right w:val="single" w:color="auto" w:sz="4" w:space="0"/>
            </w:tcBorders>
            <w:vAlign w:val="center"/>
          </w:tcPr>
          <w:p w14:paraId="133665C5">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6F1E306D">
            <w:pPr>
              <w:widowControl/>
              <w:spacing w:line="240" w:lineRule="atLeast"/>
              <w:jc w:val="center"/>
              <w:rPr>
                <w:rFonts w:hAnsi="宋体"/>
                <w:color w:val="auto"/>
                <w:sz w:val="21"/>
                <w:szCs w:val="21"/>
                <w:highlight w:val="none"/>
              </w:rPr>
            </w:pPr>
            <w:r>
              <w:rPr>
                <w:rFonts w:hAnsi="宋体"/>
                <w:color w:val="auto"/>
                <w:sz w:val="21"/>
                <w:szCs w:val="21"/>
                <w:highlight w:val="none"/>
              </w:rPr>
              <w:t>1.051</w:t>
            </w:r>
          </w:p>
        </w:tc>
      </w:tr>
      <w:tr w14:paraId="5A3601D9">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E2D4FFA">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7031C529">
            <w:pPr>
              <w:widowControl/>
              <w:spacing w:line="240" w:lineRule="atLeast"/>
              <w:jc w:val="center"/>
              <w:rPr>
                <w:rFonts w:hAnsi="宋体"/>
                <w:color w:val="auto"/>
                <w:sz w:val="21"/>
                <w:szCs w:val="21"/>
                <w:highlight w:val="none"/>
              </w:rPr>
            </w:pPr>
            <w:r>
              <w:rPr>
                <w:rFonts w:hint="eastAsia" w:hAnsi="宋体"/>
                <w:color w:val="auto"/>
                <w:sz w:val="21"/>
                <w:szCs w:val="21"/>
                <w:highlight w:val="none"/>
              </w:rPr>
              <w:t>S359岳鹿线上跨桥南匝道</w:t>
            </w:r>
          </w:p>
        </w:tc>
        <w:tc>
          <w:tcPr>
            <w:tcW w:w="1549" w:type="pct"/>
            <w:tcBorders>
              <w:top w:val="single" w:color="auto" w:sz="4" w:space="0"/>
              <w:left w:val="nil"/>
              <w:bottom w:val="single" w:color="auto" w:sz="4" w:space="0"/>
              <w:right w:val="single" w:color="auto" w:sz="4" w:space="0"/>
            </w:tcBorders>
            <w:vAlign w:val="center"/>
          </w:tcPr>
          <w:p w14:paraId="1AEB847A">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S359岳鹿线上跨桥南匝道起点~S359岳鹿线上跨桥南匝道讫点</w:t>
            </w:r>
          </w:p>
        </w:tc>
        <w:tc>
          <w:tcPr>
            <w:tcW w:w="839" w:type="pct"/>
            <w:tcBorders>
              <w:top w:val="single" w:color="auto" w:sz="4" w:space="0"/>
              <w:left w:val="nil"/>
              <w:bottom w:val="single" w:color="auto" w:sz="4" w:space="0"/>
              <w:right w:val="single" w:color="auto" w:sz="4" w:space="0"/>
            </w:tcBorders>
            <w:vAlign w:val="center"/>
          </w:tcPr>
          <w:p w14:paraId="003BCB4D">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1E906F07">
            <w:pPr>
              <w:widowControl/>
              <w:spacing w:line="240" w:lineRule="atLeast"/>
              <w:jc w:val="center"/>
              <w:rPr>
                <w:rFonts w:hAnsi="宋体"/>
                <w:color w:val="auto"/>
                <w:sz w:val="21"/>
                <w:szCs w:val="21"/>
                <w:highlight w:val="none"/>
              </w:rPr>
            </w:pPr>
            <w:r>
              <w:rPr>
                <w:rFonts w:hAnsi="宋体"/>
                <w:color w:val="auto"/>
                <w:sz w:val="21"/>
                <w:szCs w:val="21"/>
                <w:highlight w:val="none"/>
              </w:rPr>
              <w:t>1.067</w:t>
            </w:r>
          </w:p>
        </w:tc>
      </w:tr>
      <w:tr w14:paraId="2D6F108B">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B6A2A79">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6CF64406">
            <w:pPr>
              <w:widowControl/>
              <w:spacing w:line="240" w:lineRule="atLeast"/>
              <w:jc w:val="center"/>
              <w:rPr>
                <w:rFonts w:hAnsi="宋体"/>
                <w:color w:val="auto"/>
                <w:sz w:val="21"/>
                <w:szCs w:val="21"/>
                <w:highlight w:val="none"/>
              </w:rPr>
            </w:pPr>
            <w:r>
              <w:rPr>
                <w:rFonts w:hint="eastAsia" w:hAnsi="宋体"/>
                <w:color w:val="auto"/>
                <w:sz w:val="21"/>
                <w:szCs w:val="21"/>
                <w:highlight w:val="none"/>
              </w:rPr>
              <w:t>广州路</w:t>
            </w:r>
          </w:p>
        </w:tc>
        <w:tc>
          <w:tcPr>
            <w:tcW w:w="1549" w:type="pct"/>
            <w:tcBorders>
              <w:top w:val="single" w:color="auto" w:sz="4" w:space="0"/>
              <w:left w:val="nil"/>
              <w:bottom w:val="single" w:color="auto" w:sz="4" w:space="0"/>
              <w:right w:val="single" w:color="auto" w:sz="4" w:space="0"/>
            </w:tcBorders>
            <w:vAlign w:val="center"/>
          </w:tcPr>
          <w:p w14:paraId="4EC6419B">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G204~川西路</w:t>
            </w:r>
          </w:p>
        </w:tc>
        <w:tc>
          <w:tcPr>
            <w:tcW w:w="839" w:type="pct"/>
            <w:tcBorders>
              <w:top w:val="single" w:color="auto" w:sz="4" w:space="0"/>
              <w:left w:val="nil"/>
              <w:bottom w:val="single" w:color="auto" w:sz="4" w:space="0"/>
              <w:right w:val="single" w:color="auto" w:sz="4" w:space="0"/>
            </w:tcBorders>
            <w:vAlign w:val="center"/>
          </w:tcPr>
          <w:p w14:paraId="615E76FB">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7EF5A641">
            <w:pPr>
              <w:widowControl/>
              <w:spacing w:line="240" w:lineRule="atLeast"/>
              <w:jc w:val="center"/>
              <w:rPr>
                <w:rFonts w:hAnsi="宋体"/>
                <w:color w:val="auto"/>
                <w:sz w:val="21"/>
                <w:szCs w:val="21"/>
                <w:highlight w:val="none"/>
              </w:rPr>
            </w:pPr>
            <w:r>
              <w:rPr>
                <w:rFonts w:hAnsi="宋体"/>
                <w:color w:val="auto"/>
                <w:sz w:val="21"/>
                <w:szCs w:val="21"/>
                <w:highlight w:val="none"/>
              </w:rPr>
              <w:t>3.174</w:t>
            </w:r>
          </w:p>
        </w:tc>
      </w:tr>
      <w:tr w14:paraId="086AE698">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760F5336">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5E817B0C">
            <w:pPr>
              <w:widowControl/>
              <w:spacing w:line="240" w:lineRule="atLeast"/>
              <w:jc w:val="center"/>
              <w:rPr>
                <w:rFonts w:hAnsi="宋体"/>
                <w:color w:val="auto"/>
                <w:sz w:val="21"/>
                <w:szCs w:val="21"/>
                <w:highlight w:val="none"/>
              </w:rPr>
            </w:pPr>
            <w:r>
              <w:rPr>
                <w:rFonts w:hint="eastAsia" w:hAnsi="宋体"/>
                <w:color w:val="auto"/>
                <w:sz w:val="21"/>
                <w:szCs w:val="21"/>
                <w:highlight w:val="none"/>
              </w:rPr>
              <w:t>双浮路</w:t>
            </w:r>
          </w:p>
        </w:tc>
        <w:tc>
          <w:tcPr>
            <w:tcW w:w="1549" w:type="pct"/>
            <w:tcBorders>
              <w:top w:val="single" w:color="auto" w:sz="4" w:space="0"/>
              <w:left w:val="nil"/>
              <w:bottom w:val="single" w:color="auto" w:sz="4" w:space="0"/>
              <w:right w:val="single" w:color="auto" w:sz="4" w:space="0"/>
            </w:tcBorders>
            <w:vAlign w:val="center"/>
          </w:tcPr>
          <w:p w14:paraId="1A5BB184">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G204~（凤苑路）严家线</w:t>
            </w:r>
          </w:p>
        </w:tc>
        <w:tc>
          <w:tcPr>
            <w:tcW w:w="839" w:type="pct"/>
            <w:tcBorders>
              <w:top w:val="single" w:color="auto" w:sz="4" w:space="0"/>
              <w:left w:val="nil"/>
              <w:bottom w:val="single" w:color="auto" w:sz="4" w:space="0"/>
              <w:right w:val="single" w:color="auto" w:sz="4" w:space="0"/>
            </w:tcBorders>
            <w:vAlign w:val="center"/>
          </w:tcPr>
          <w:p w14:paraId="702236B7">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7DCFD7E2">
            <w:pPr>
              <w:widowControl/>
              <w:spacing w:line="240" w:lineRule="atLeast"/>
              <w:jc w:val="center"/>
              <w:rPr>
                <w:rFonts w:hAnsi="宋体"/>
                <w:color w:val="auto"/>
                <w:sz w:val="21"/>
                <w:szCs w:val="21"/>
                <w:highlight w:val="none"/>
              </w:rPr>
            </w:pPr>
            <w:r>
              <w:rPr>
                <w:rFonts w:hAnsi="宋体"/>
                <w:color w:val="auto"/>
                <w:sz w:val="21"/>
                <w:szCs w:val="21"/>
                <w:highlight w:val="none"/>
              </w:rPr>
              <w:t>1.829</w:t>
            </w:r>
          </w:p>
        </w:tc>
      </w:tr>
      <w:tr w14:paraId="000E48F8">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bottom w:val="single" w:color="auto" w:sz="4" w:space="0"/>
              <w:right w:val="single" w:color="auto" w:sz="4" w:space="0"/>
            </w:tcBorders>
            <w:vAlign w:val="center"/>
          </w:tcPr>
          <w:p w14:paraId="1A4D8778">
            <w:pPr>
              <w:widowControl/>
              <w:spacing w:line="240" w:lineRule="atLeast"/>
              <w:jc w:val="center"/>
              <w:rPr>
                <w:rFonts w:hAnsi="宋体"/>
                <w:b/>
                <w:bCs/>
                <w:color w:val="auto"/>
                <w:sz w:val="21"/>
                <w:szCs w:val="21"/>
                <w:highlight w:val="none"/>
              </w:rPr>
            </w:pPr>
          </w:p>
        </w:tc>
        <w:tc>
          <w:tcPr>
            <w:tcW w:w="988" w:type="pct"/>
            <w:tcBorders>
              <w:top w:val="single" w:color="auto" w:sz="4" w:space="0"/>
              <w:left w:val="nil"/>
              <w:bottom w:val="single" w:color="auto" w:sz="4" w:space="0"/>
              <w:right w:val="single" w:color="auto" w:sz="4" w:space="0"/>
            </w:tcBorders>
            <w:shd w:val="clear" w:color="auto" w:fill="FFFFFF"/>
            <w:vAlign w:val="center"/>
          </w:tcPr>
          <w:p w14:paraId="6372A8A6">
            <w:pPr>
              <w:widowControl/>
              <w:spacing w:line="240" w:lineRule="atLeast"/>
              <w:jc w:val="center"/>
              <w:rPr>
                <w:rFonts w:hAnsi="宋体"/>
                <w:color w:val="auto"/>
                <w:sz w:val="21"/>
                <w:szCs w:val="21"/>
                <w:highlight w:val="none"/>
              </w:rPr>
            </w:pPr>
            <w:r>
              <w:rPr>
                <w:rFonts w:hint="eastAsia" w:hAnsi="宋体"/>
                <w:color w:val="auto"/>
                <w:sz w:val="21"/>
                <w:szCs w:val="21"/>
                <w:highlight w:val="none"/>
              </w:rPr>
              <w:t>太浏快速路(沪通铁路一期~G346)</w:t>
            </w:r>
          </w:p>
        </w:tc>
        <w:tc>
          <w:tcPr>
            <w:tcW w:w="1549" w:type="pct"/>
            <w:tcBorders>
              <w:top w:val="single" w:color="auto" w:sz="4" w:space="0"/>
              <w:left w:val="nil"/>
              <w:bottom w:val="single" w:color="auto" w:sz="4" w:space="0"/>
              <w:right w:val="single" w:color="auto" w:sz="4" w:space="0"/>
            </w:tcBorders>
            <w:vAlign w:val="center"/>
          </w:tcPr>
          <w:p w14:paraId="331F7268">
            <w:pPr>
              <w:widowControl/>
              <w:spacing w:line="240" w:lineRule="atLeast"/>
              <w:jc w:val="center"/>
              <w:rPr>
                <w:rFonts w:hAnsi="宋体"/>
                <w:b/>
                <w:bCs/>
                <w:color w:val="auto"/>
                <w:sz w:val="21"/>
                <w:szCs w:val="21"/>
                <w:highlight w:val="none"/>
              </w:rPr>
            </w:pPr>
            <w:r>
              <w:rPr>
                <w:rFonts w:hint="eastAsia" w:hAnsi="宋体"/>
                <w:color w:val="auto"/>
                <w:sz w:val="21"/>
                <w:szCs w:val="21"/>
                <w:highlight w:val="none"/>
              </w:rPr>
              <w:t>沪通铁路一期~G346</w:t>
            </w:r>
          </w:p>
        </w:tc>
        <w:tc>
          <w:tcPr>
            <w:tcW w:w="839" w:type="pct"/>
            <w:tcBorders>
              <w:top w:val="single" w:color="auto" w:sz="4" w:space="0"/>
              <w:left w:val="nil"/>
              <w:bottom w:val="single" w:color="auto" w:sz="4" w:space="0"/>
              <w:right w:val="single" w:color="auto" w:sz="4" w:space="0"/>
            </w:tcBorders>
            <w:vAlign w:val="center"/>
          </w:tcPr>
          <w:p w14:paraId="17F38588">
            <w:pPr>
              <w:widowControl/>
              <w:spacing w:line="240" w:lineRule="atLeast"/>
              <w:jc w:val="center"/>
              <w:rPr>
                <w:rFonts w:hAnsi="宋体"/>
                <w:color w:val="auto"/>
                <w:sz w:val="21"/>
                <w:szCs w:val="21"/>
                <w:highlight w:val="none"/>
              </w:rPr>
            </w:pPr>
            <w:r>
              <w:rPr>
                <w:rFonts w:hint="eastAsia" w:hAnsi="宋体"/>
                <w:color w:val="auto"/>
                <w:sz w:val="21"/>
                <w:szCs w:val="21"/>
                <w:highlight w:val="none"/>
              </w:rPr>
              <w:t>太仓市</w:t>
            </w:r>
          </w:p>
        </w:tc>
        <w:tc>
          <w:tcPr>
            <w:tcW w:w="940" w:type="pct"/>
            <w:tcBorders>
              <w:top w:val="single" w:color="auto" w:sz="4" w:space="0"/>
              <w:left w:val="nil"/>
              <w:bottom w:val="single" w:color="auto" w:sz="4" w:space="0"/>
              <w:right w:val="single" w:color="auto" w:sz="4" w:space="0"/>
            </w:tcBorders>
            <w:shd w:val="clear" w:color="auto" w:fill="FFFFFF"/>
            <w:vAlign w:val="center"/>
          </w:tcPr>
          <w:p w14:paraId="6B39DFD9">
            <w:pPr>
              <w:widowControl/>
              <w:spacing w:line="240" w:lineRule="atLeast"/>
              <w:jc w:val="center"/>
              <w:rPr>
                <w:rFonts w:hAnsi="宋体"/>
                <w:color w:val="auto"/>
                <w:sz w:val="21"/>
                <w:szCs w:val="21"/>
                <w:highlight w:val="none"/>
              </w:rPr>
            </w:pPr>
            <w:r>
              <w:rPr>
                <w:rFonts w:hAnsi="宋体"/>
                <w:color w:val="auto"/>
                <w:sz w:val="21"/>
                <w:szCs w:val="21"/>
                <w:highlight w:val="none"/>
              </w:rPr>
              <w:t>4.445</w:t>
            </w:r>
          </w:p>
        </w:tc>
      </w:tr>
      <w:tr w14:paraId="7916D3CA">
        <w:tblPrEx>
          <w:tblCellMar>
            <w:top w:w="0" w:type="dxa"/>
            <w:left w:w="108" w:type="dxa"/>
            <w:bottom w:w="0" w:type="dxa"/>
            <w:right w:w="108" w:type="dxa"/>
          </w:tblCellMar>
        </w:tblPrEx>
        <w:trPr>
          <w:trHeight w:val="488" w:hRule="atLeast"/>
          <w:jc w:val="center"/>
        </w:trPr>
        <w:tc>
          <w:tcPr>
            <w:tcW w:w="4059" w:type="pct"/>
            <w:gridSpan w:val="4"/>
            <w:tcBorders>
              <w:top w:val="single" w:color="auto" w:sz="4" w:space="0"/>
              <w:left w:val="single" w:color="auto" w:sz="4" w:space="0"/>
              <w:bottom w:val="single" w:color="auto" w:sz="4" w:space="0"/>
              <w:right w:val="single" w:color="auto" w:sz="4" w:space="0"/>
            </w:tcBorders>
            <w:vAlign w:val="center"/>
          </w:tcPr>
          <w:p w14:paraId="6B79E675">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合计</w:t>
            </w:r>
          </w:p>
        </w:tc>
        <w:tc>
          <w:tcPr>
            <w:tcW w:w="940" w:type="pct"/>
            <w:tcBorders>
              <w:top w:val="single" w:color="auto" w:sz="4" w:space="0"/>
              <w:left w:val="nil"/>
              <w:bottom w:val="single" w:color="auto" w:sz="4" w:space="0"/>
              <w:right w:val="single" w:color="auto" w:sz="4" w:space="0"/>
            </w:tcBorders>
            <w:vAlign w:val="center"/>
          </w:tcPr>
          <w:p w14:paraId="1E60193C">
            <w:pPr>
              <w:widowControl/>
              <w:spacing w:line="240" w:lineRule="atLeast"/>
              <w:jc w:val="center"/>
              <w:rPr>
                <w:rFonts w:hAnsi="宋体"/>
                <w:color w:val="auto"/>
                <w:sz w:val="21"/>
                <w:szCs w:val="21"/>
                <w:highlight w:val="none"/>
              </w:rPr>
            </w:pPr>
            <w:r>
              <w:rPr>
                <w:rFonts w:hint="eastAsia" w:hAnsi="宋体"/>
                <w:color w:val="auto"/>
                <w:sz w:val="21"/>
                <w:szCs w:val="21"/>
                <w:highlight w:val="none"/>
              </w:rPr>
              <w:t>151.634</w:t>
            </w:r>
          </w:p>
        </w:tc>
      </w:tr>
      <w:tr w14:paraId="100E2FEA">
        <w:tblPrEx>
          <w:tblCellMar>
            <w:top w:w="0" w:type="dxa"/>
            <w:left w:w="108" w:type="dxa"/>
            <w:bottom w:w="0" w:type="dxa"/>
            <w:right w:w="108" w:type="dxa"/>
          </w:tblCellMar>
        </w:tblPrEx>
        <w:trPr>
          <w:trHeight w:val="488" w:hRule="atLeast"/>
          <w:jc w:val="center"/>
        </w:trPr>
        <w:tc>
          <w:tcPr>
            <w:tcW w:w="681" w:type="pct"/>
            <w:vMerge w:val="restart"/>
            <w:tcBorders>
              <w:top w:val="single" w:color="auto" w:sz="4" w:space="0"/>
              <w:left w:val="single" w:color="auto" w:sz="4" w:space="0"/>
              <w:right w:val="single" w:color="auto" w:sz="4" w:space="0"/>
            </w:tcBorders>
            <w:vAlign w:val="center"/>
          </w:tcPr>
          <w:p w14:paraId="149D928E">
            <w:pPr>
              <w:widowControl/>
              <w:spacing w:line="240" w:lineRule="atLeast"/>
              <w:jc w:val="center"/>
              <w:rPr>
                <w:rFonts w:hAnsi="宋体"/>
                <w:b/>
                <w:bCs/>
                <w:color w:val="auto"/>
                <w:sz w:val="21"/>
                <w:szCs w:val="21"/>
                <w:highlight w:val="none"/>
              </w:rPr>
            </w:pPr>
            <w:r>
              <w:rPr>
                <w:rFonts w:hint="eastAsia" w:hAnsi="宋体"/>
                <w:b/>
                <w:bCs/>
                <w:color w:val="auto"/>
                <w:sz w:val="21"/>
                <w:szCs w:val="21"/>
                <w:highlight w:val="none"/>
              </w:rPr>
              <w:t>国省级公路</w:t>
            </w:r>
          </w:p>
        </w:tc>
        <w:tc>
          <w:tcPr>
            <w:tcW w:w="988" w:type="pct"/>
            <w:vMerge w:val="restart"/>
            <w:tcBorders>
              <w:top w:val="single" w:color="auto" w:sz="4" w:space="0"/>
              <w:left w:val="nil"/>
              <w:right w:val="single" w:color="auto" w:sz="4" w:space="0"/>
            </w:tcBorders>
            <w:shd w:val="clear" w:color="auto" w:fill="FFFFFF"/>
            <w:vAlign w:val="center"/>
          </w:tcPr>
          <w:p w14:paraId="5A50B6E3">
            <w:pPr>
              <w:widowControl/>
              <w:spacing w:line="240" w:lineRule="atLeast"/>
              <w:jc w:val="center"/>
              <w:rPr>
                <w:rFonts w:hAnsi="宋体"/>
                <w:color w:val="auto"/>
                <w:sz w:val="21"/>
                <w:szCs w:val="21"/>
                <w:highlight w:val="none"/>
              </w:rPr>
            </w:pPr>
            <w:r>
              <w:rPr>
                <w:rFonts w:hint="eastAsia" w:hAnsi="宋体"/>
                <w:color w:val="auto"/>
                <w:sz w:val="21"/>
                <w:szCs w:val="21"/>
                <w:highlight w:val="none"/>
              </w:rPr>
              <w:t>G204</w:t>
            </w:r>
          </w:p>
        </w:tc>
        <w:tc>
          <w:tcPr>
            <w:tcW w:w="1549" w:type="pct"/>
            <w:tcBorders>
              <w:top w:val="single" w:color="auto" w:sz="4" w:space="0"/>
              <w:left w:val="nil"/>
              <w:bottom w:val="single" w:color="auto" w:sz="4" w:space="0"/>
              <w:right w:val="single" w:color="auto" w:sz="4" w:space="0"/>
            </w:tcBorders>
            <w:shd w:val="clear" w:color="auto" w:fill="FFFFFF"/>
            <w:vAlign w:val="center"/>
          </w:tcPr>
          <w:p w14:paraId="4BC34B90">
            <w:pPr>
              <w:spacing w:line="240" w:lineRule="atLeast"/>
              <w:jc w:val="center"/>
              <w:rPr>
                <w:rFonts w:hAnsi="宋体"/>
                <w:color w:val="auto"/>
                <w:sz w:val="21"/>
                <w:szCs w:val="21"/>
                <w:highlight w:val="none"/>
              </w:rPr>
            </w:pPr>
            <w:r>
              <w:rPr>
                <w:rFonts w:hint="eastAsia" w:hAnsi="宋体"/>
                <w:color w:val="auto"/>
                <w:sz w:val="21"/>
                <w:szCs w:val="21"/>
                <w:highlight w:val="none"/>
              </w:rPr>
              <w:t>上海界~浏双公路</w:t>
            </w:r>
          </w:p>
        </w:tc>
        <w:tc>
          <w:tcPr>
            <w:tcW w:w="839" w:type="pct"/>
            <w:tcBorders>
              <w:top w:val="single" w:color="auto" w:sz="4" w:space="0"/>
              <w:left w:val="nil"/>
              <w:bottom w:val="single" w:color="auto" w:sz="4" w:space="0"/>
              <w:right w:val="single" w:color="auto" w:sz="4" w:space="0"/>
            </w:tcBorders>
            <w:shd w:val="clear" w:color="auto" w:fill="FFFFFF"/>
            <w:vAlign w:val="center"/>
          </w:tcPr>
          <w:p w14:paraId="768E59CC">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vAlign w:val="center"/>
          </w:tcPr>
          <w:p w14:paraId="1475C190">
            <w:pPr>
              <w:widowControl/>
              <w:spacing w:line="240" w:lineRule="atLeast"/>
              <w:jc w:val="center"/>
              <w:rPr>
                <w:rFonts w:hAnsi="宋体"/>
                <w:color w:val="auto"/>
                <w:sz w:val="21"/>
                <w:szCs w:val="21"/>
                <w:highlight w:val="none"/>
              </w:rPr>
            </w:pPr>
            <w:r>
              <w:rPr>
                <w:rFonts w:hint="eastAsia" w:hAnsi="宋体"/>
                <w:color w:val="auto"/>
                <w:sz w:val="21"/>
                <w:szCs w:val="21"/>
                <w:highlight w:val="none"/>
              </w:rPr>
              <w:t>23.863</w:t>
            </w:r>
          </w:p>
        </w:tc>
      </w:tr>
      <w:tr w14:paraId="27C4598B">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0495FB95">
            <w:pPr>
              <w:widowControl/>
              <w:spacing w:line="240" w:lineRule="atLeast"/>
              <w:jc w:val="center"/>
              <w:rPr>
                <w:rFonts w:hAnsi="宋体"/>
                <w:b/>
                <w:bCs/>
                <w:color w:val="auto"/>
                <w:sz w:val="21"/>
                <w:szCs w:val="21"/>
                <w:highlight w:val="none"/>
              </w:rPr>
            </w:pPr>
          </w:p>
        </w:tc>
        <w:tc>
          <w:tcPr>
            <w:tcW w:w="988" w:type="pct"/>
            <w:vMerge w:val="continue"/>
            <w:tcBorders>
              <w:left w:val="nil"/>
              <w:right w:val="single" w:color="auto" w:sz="4" w:space="0"/>
            </w:tcBorders>
            <w:shd w:val="clear" w:color="auto" w:fill="FFFFFF"/>
            <w:vAlign w:val="center"/>
          </w:tcPr>
          <w:p w14:paraId="61696771">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shd w:val="clear" w:color="auto" w:fill="FFFFFF"/>
            <w:vAlign w:val="center"/>
          </w:tcPr>
          <w:p w14:paraId="481C92ED">
            <w:pPr>
              <w:spacing w:line="240" w:lineRule="atLeast"/>
              <w:jc w:val="center"/>
              <w:rPr>
                <w:rFonts w:hAnsi="宋体"/>
                <w:color w:val="auto"/>
                <w:sz w:val="21"/>
                <w:szCs w:val="21"/>
                <w:highlight w:val="none"/>
              </w:rPr>
            </w:pPr>
            <w:r>
              <w:rPr>
                <w:rFonts w:hint="eastAsia" w:hAnsi="宋体"/>
                <w:color w:val="auto"/>
                <w:sz w:val="21"/>
                <w:szCs w:val="21"/>
                <w:highlight w:val="none"/>
              </w:rPr>
              <w:t>浏双公路~常熟界</w:t>
            </w:r>
          </w:p>
        </w:tc>
        <w:tc>
          <w:tcPr>
            <w:tcW w:w="839" w:type="pct"/>
            <w:tcBorders>
              <w:top w:val="single" w:color="auto" w:sz="4" w:space="0"/>
              <w:left w:val="nil"/>
              <w:bottom w:val="single" w:color="auto" w:sz="4" w:space="0"/>
              <w:right w:val="single" w:color="auto" w:sz="4" w:space="0"/>
            </w:tcBorders>
            <w:shd w:val="clear" w:color="auto" w:fill="FFFFFF"/>
            <w:vAlign w:val="center"/>
          </w:tcPr>
          <w:p w14:paraId="7A04C2D1">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right w:val="single" w:color="auto" w:sz="4" w:space="0"/>
            </w:tcBorders>
            <w:vAlign w:val="center"/>
          </w:tcPr>
          <w:p w14:paraId="307E9E49">
            <w:pPr>
              <w:widowControl/>
              <w:spacing w:line="240" w:lineRule="atLeast"/>
              <w:jc w:val="center"/>
              <w:rPr>
                <w:rFonts w:hAnsi="宋体"/>
                <w:color w:val="auto"/>
                <w:sz w:val="21"/>
                <w:szCs w:val="21"/>
                <w:highlight w:val="none"/>
              </w:rPr>
            </w:pPr>
          </w:p>
        </w:tc>
      </w:tr>
      <w:tr w14:paraId="6E3ECB4F">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5FA5BE29">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3435A4FC">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shd w:val="clear" w:color="auto" w:fill="FFFFFF"/>
            <w:vAlign w:val="center"/>
          </w:tcPr>
          <w:p w14:paraId="4F563F19">
            <w:pPr>
              <w:spacing w:line="240" w:lineRule="atLeast"/>
              <w:jc w:val="center"/>
              <w:rPr>
                <w:rFonts w:hAnsi="宋体"/>
                <w:color w:val="auto"/>
                <w:sz w:val="21"/>
                <w:szCs w:val="21"/>
                <w:highlight w:val="none"/>
              </w:rPr>
            </w:pPr>
            <w:r>
              <w:rPr>
                <w:rFonts w:hint="eastAsia" w:hAnsi="宋体"/>
                <w:color w:val="auto"/>
                <w:sz w:val="21"/>
                <w:szCs w:val="21"/>
                <w:highlight w:val="none"/>
              </w:rPr>
              <w:t>锡太上跨桥</w:t>
            </w:r>
          </w:p>
        </w:tc>
        <w:tc>
          <w:tcPr>
            <w:tcW w:w="839" w:type="pct"/>
            <w:tcBorders>
              <w:top w:val="single" w:color="auto" w:sz="4" w:space="0"/>
              <w:left w:val="nil"/>
              <w:bottom w:val="single" w:color="auto" w:sz="4" w:space="0"/>
              <w:right w:val="single" w:color="auto" w:sz="4" w:space="0"/>
            </w:tcBorders>
            <w:shd w:val="clear" w:color="auto" w:fill="FFFFFF"/>
            <w:vAlign w:val="center"/>
          </w:tcPr>
          <w:p w14:paraId="503CEC52">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vAlign w:val="center"/>
          </w:tcPr>
          <w:p w14:paraId="14C07F8E">
            <w:pPr>
              <w:widowControl/>
              <w:spacing w:line="240" w:lineRule="atLeast"/>
              <w:jc w:val="center"/>
              <w:rPr>
                <w:rFonts w:hAnsi="宋体"/>
                <w:color w:val="auto"/>
                <w:sz w:val="21"/>
                <w:szCs w:val="21"/>
                <w:highlight w:val="none"/>
              </w:rPr>
            </w:pPr>
          </w:p>
        </w:tc>
      </w:tr>
      <w:tr w14:paraId="640CA9F9">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6BD17229">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1B788163">
            <w:pPr>
              <w:widowControl/>
              <w:spacing w:line="240" w:lineRule="atLeast"/>
              <w:jc w:val="center"/>
              <w:rPr>
                <w:rFonts w:hAnsi="宋体"/>
                <w:color w:val="auto"/>
                <w:sz w:val="21"/>
                <w:szCs w:val="21"/>
                <w:highlight w:val="none"/>
              </w:rPr>
            </w:pPr>
            <w:r>
              <w:rPr>
                <w:rFonts w:hint="eastAsia" w:hAnsi="宋体"/>
                <w:color w:val="auto"/>
                <w:sz w:val="21"/>
                <w:szCs w:val="21"/>
                <w:highlight w:val="none"/>
              </w:rPr>
              <w:t>S339</w:t>
            </w:r>
          </w:p>
        </w:tc>
        <w:tc>
          <w:tcPr>
            <w:tcW w:w="1549" w:type="pct"/>
            <w:tcBorders>
              <w:top w:val="single" w:color="auto" w:sz="4" w:space="0"/>
              <w:left w:val="nil"/>
              <w:bottom w:val="single" w:color="auto" w:sz="4" w:space="0"/>
              <w:right w:val="single" w:color="auto" w:sz="4" w:space="0"/>
            </w:tcBorders>
            <w:shd w:val="clear" w:color="auto" w:fill="FFFFFF"/>
            <w:vAlign w:val="center"/>
          </w:tcPr>
          <w:p w14:paraId="5368EF7B">
            <w:pPr>
              <w:spacing w:line="240" w:lineRule="atLeast"/>
              <w:jc w:val="center"/>
              <w:rPr>
                <w:rFonts w:hAnsi="宋体"/>
                <w:color w:val="auto"/>
                <w:sz w:val="21"/>
                <w:szCs w:val="21"/>
                <w:highlight w:val="none"/>
              </w:rPr>
            </w:pPr>
            <w:r>
              <w:rPr>
                <w:rFonts w:hint="eastAsia" w:hAnsi="宋体"/>
                <w:color w:val="auto"/>
                <w:sz w:val="21"/>
                <w:szCs w:val="21"/>
                <w:highlight w:val="none"/>
              </w:rPr>
              <w:t>G346~昆山界</w:t>
            </w:r>
          </w:p>
        </w:tc>
        <w:tc>
          <w:tcPr>
            <w:tcW w:w="839" w:type="pct"/>
            <w:tcBorders>
              <w:top w:val="single" w:color="auto" w:sz="4" w:space="0"/>
              <w:left w:val="nil"/>
              <w:bottom w:val="single" w:color="auto" w:sz="4" w:space="0"/>
              <w:right w:val="single" w:color="auto" w:sz="4" w:space="0"/>
            </w:tcBorders>
            <w:shd w:val="clear" w:color="auto" w:fill="FFFFFF"/>
            <w:vAlign w:val="center"/>
          </w:tcPr>
          <w:p w14:paraId="4DA0059E">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vAlign w:val="center"/>
          </w:tcPr>
          <w:p w14:paraId="226198A5">
            <w:pPr>
              <w:widowControl/>
              <w:spacing w:line="240" w:lineRule="atLeast"/>
              <w:jc w:val="center"/>
              <w:rPr>
                <w:rFonts w:hAnsi="宋体"/>
                <w:color w:val="auto"/>
                <w:sz w:val="21"/>
                <w:szCs w:val="21"/>
                <w:highlight w:val="none"/>
              </w:rPr>
            </w:pPr>
            <w:r>
              <w:rPr>
                <w:rFonts w:hint="eastAsia" w:hAnsi="宋体"/>
                <w:color w:val="auto"/>
                <w:sz w:val="21"/>
                <w:szCs w:val="21"/>
                <w:highlight w:val="none"/>
              </w:rPr>
              <w:t>25.617</w:t>
            </w:r>
          </w:p>
        </w:tc>
      </w:tr>
      <w:tr w14:paraId="160CB0D3">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2F4A0CEE">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13DC759C">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shd w:val="clear" w:color="auto" w:fill="FFFFFF"/>
            <w:vAlign w:val="center"/>
          </w:tcPr>
          <w:p w14:paraId="158F677F">
            <w:pPr>
              <w:spacing w:line="240" w:lineRule="atLeast"/>
              <w:jc w:val="center"/>
              <w:rPr>
                <w:rFonts w:hAnsi="宋体"/>
                <w:color w:val="auto"/>
                <w:sz w:val="21"/>
                <w:szCs w:val="21"/>
                <w:highlight w:val="none"/>
              </w:rPr>
            </w:pPr>
            <w:r>
              <w:rPr>
                <w:rFonts w:hint="eastAsia" w:hAnsi="宋体"/>
                <w:color w:val="auto"/>
                <w:sz w:val="21"/>
                <w:szCs w:val="21"/>
                <w:highlight w:val="none"/>
              </w:rPr>
              <w:t>滨江大道~G346</w:t>
            </w:r>
          </w:p>
        </w:tc>
        <w:tc>
          <w:tcPr>
            <w:tcW w:w="839" w:type="pct"/>
            <w:tcBorders>
              <w:top w:val="single" w:color="auto" w:sz="4" w:space="0"/>
              <w:left w:val="nil"/>
              <w:bottom w:val="single" w:color="auto" w:sz="4" w:space="0"/>
              <w:right w:val="single" w:color="auto" w:sz="4" w:space="0"/>
            </w:tcBorders>
            <w:shd w:val="clear" w:color="auto" w:fill="FFFFFF"/>
            <w:vAlign w:val="center"/>
          </w:tcPr>
          <w:p w14:paraId="7505D012">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vAlign w:val="center"/>
          </w:tcPr>
          <w:p w14:paraId="6930C3B2">
            <w:pPr>
              <w:widowControl/>
              <w:spacing w:line="240" w:lineRule="atLeast"/>
              <w:jc w:val="center"/>
              <w:rPr>
                <w:rFonts w:hAnsi="宋体"/>
                <w:color w:val="auto"/>
                <w:sz w:val="21"/>
                <w:szCs w:val="21"/>
                <w:highlight w:val="none"/>
              </w:rPr>
            </w:pPr>
          </w:p>
        </w:tc>
      </w:tr>
      <w:tr w14:paraId="4BBE3617">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6FCB6788">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6B818207">
            <w:pPr>
              <w:widowControl/>
              <w:spacing w:line="240" w:lineRule="atLeast"/>
              <w:jc w:val="center"/>
              <w:rPr>
                <w:rFonts w:hAnsi="宋体"/>
                <w:color w:val="auto"/>
                <w:sz w:val="21"/>
                <w:szCs w:val="21"/>
                <w:highlight w:val="none"/>
              </w:rPr>
            </w:pPr>
            <w:r>
              <w:rPr>
                <w:rFonts w:hint="eastAsia" w:hAnsi="宋体"/>
                <w:color w:val="auto"/>
                <w:sz w:val="21"/>
                <w:szCs w:val="21"/>
                <w:highlight w:val="none"/>
              </w:rPr>
              <w:t>G346</w:t>
            </w:r>
          </w:p>
        </w:tc>
        <w:tc>
          <w:tcPr>
            <w:tcW w:w="1549" w:type="pct"/>
            <w:tcBorders>
              <w:top w:val="single" w:color="auto" w:sz="4" w:space="0"/>
              <w:left w:val="nil"/>
              <w:bottom w:val="single" w:color="auto" w:sz="4" w:space="0"/>
              <w:right w:val="single" w:color="auto" w:sz="4" w:space="0"/>
            </w:tcBorders>
            <w:shd w:val="clear" w:color="auto" w:fill="FFFFFF"/>
            <w:vAlign w:val="center"/>
          </w:tcPr>
          <w:p w14:paraId="1B79EB9A">
            <w:pPr>
              <w:spacing w:line="240" w:lineRule="atLeast"/>
              <w:jc w:val="center"/>
              <w:rPr>
                <w:rFonts w:hAnsi="宋体"/>
                <w:color w:val="auto"/>
                <w:sz w:val="21"/>
                <w:szCs w:val="21"/>
                <w:highlight w:val="none"/>
              </w:rPr>
            </w:pPr>
            <w:r>
              <w:rPr>
                <w:rFonts w:hint="eastAsia" w:hAnsi="宋体"/>
                <w:color w:val="auto"/>
                <w:sz w:val="21"/>
                <w:szCs w:val="21"/>
                <w:highlight w:val="none"/>
              </w:rPr>
              <w:t>双浮公路~常熟界</w:t>
            </w:r>
          </w:p>
        </w:tc>
        <w:tc>
          <w:tcPr>
            <w:tcW w:w="839" w:type="pct"/>
            <w:tcBorders>
              <w:top w:val="single" w:color="auto" w:sz="4" w:space="0"/>
              <w:left w:val="nil"/>
              <w:bottom w:val="single" w:color="auto" w:sz="4" w:space="0"/>
              <w:right w:val="single" w:color="auto" w:sz="4" w:space="0"/>
            </w:tcBorders>
            <w:shd w:val="clear" w:color="auto" w:fill="FFFFFF"/>
            <w:vAlign w:val="center"/>
          </w:tcPr>
          <w:p w14:paraId="52774921">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vAlign w:val="center"/>
          </w:tcPr>
          <w:p w14:paraId="7FD0D71E">
            <w:pPr>
              <w:widowControl/>
              <w:spacing w:line="240" w:lineRule="atLeast"/>
              <w:jc w:val="center"/>
              <w:rPr>
                <w:rFonts w:hAnsi="宋体"/>
                <w:color w:val="auto"/>
                <w:sz w:val="21"/>
                <w:szCs w:val="21"/>
                <w:highlight w:val="none"/>
              </w:rPr>
            </w:pPr>
            <w:r>
              <w:rPr>
                <w:rFonts w:hint="eastAsia" w:hAnsi="宋体"/>
                <w:color w:val="auto"/>
                <w:sz w:val="21"/>
                <w:szCs w:val="21"/>
                <w:highlight w:val="none"/>
              </w:rPr>
              <w:t>35.337</w:t>
            </w:r>
          </w:p>
        </w:tc>
      </w:tr>
      <w:tr w14:paraId="269C8200">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2C63FB84">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4409C783">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shd w:val="clear" w:color="auto" w:fill="FFFFFF"/>
            <w:vAlign w:val="center"/>
          </w:tcPr>
          <w:p w14:paraId="4AA0F35F">
            <w:pPr>
              <w:spacing w:line="240" w:lineRule="atLeast"/>
              <w:jc w:val="center"/>
              <w:rPr>
                <w:rFonts w:hAnsi="宋体"/>
                <w:color w:val="auto"/>
                <w:sz w:val="21"/>
                <w:szCs w:val="21"/>
                <w:highlight w:val="none"/>
              </w:rPr>
            </w:pPr>
            <w:r>
              <w:rPr>
                <w:rFonts w:hint="eastAsia" w:hAnsi="宋体"/>
                <w:color w:val="auto"/>
                <w:sz w:val="21"/>
                <w:szCs w:val="21"/>
                <w:highlight w:val="none"/>
              </w:rPr>
              <w:t>上海界~双浮公路</w:t>
            </w:r>
          </w:p>
        </w:tc>
        <w:tc>
          <w:tcPr>
            <w:tcW w:w="839" w:type="pct"/>
            <w:tcBorders>
              <w:top w:val="single" w:color="auto" w:sz="4" w:space="0"/>
              <w:left w:val="nil"/>
              <w:bottom w:val="single" w:color="auto" w:sz="4" w:space="0"/>
              <w:right w:val="single" w:color="auto" w:sz="4" w:space="0"/>
            </w:tcBorders>
            <w:shd w:val="clear" w:color="auto" w:fill="FFFFFF"/>
            <w:vAlign w:val="center"/>
          </w:tcPr>
          <w:p w14:paraId="5C9146CC">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vAlign w:val="center"/>
          </w:tcPr>
          <w:p w14:paraId="157C338D">
            <w:pPr>
              <w:widowControl/>
              <w:spacing w:line="240" w:lineRule="atLeast"/>
              <w:jc w:val="center"/>
              <w:rPr>
                <w:rFonts w:hAnsi="宋体"/>
                <w:color w:val="auto"/>
                <w:sz w:val="21"/>
                <w:szCs w:val="21"/>
                <w:highlight w:val="none"/>
              </w:rPr>
            </w:pPr>
          </w:p>
        </w:tc>
      </w:tr>
      <w:tr w14:paraId="3FE70907">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13F0B004">
            <w:pPr>
              <w:widowControl/>
              <w:spacing w:line="240" w:lineRule="atLeast"/>
              <w:jc w:val="center"/>
              <w:rPr>
                <w:rFonts w:hAnsi="宋体"/>
                <w:b/>
                <w:bCs/>
                <w:color w:val="auto"/>
                <w:sz w:val="21"/>
                <w:szCs w:val="21"/>
                <w:highlight w:val="none"/>
              </w:rPr>
            </w:pPr>
          </w:p>
        </w:tc>
        <w:tc>
          <w:tcPr>
            <w:tcW w:w="988" w:type="pct"/>
            <w:vMerge w:val="restart"/>
            <w:tcBorders>
              <w:top w:val="single" w:color="auto" w:sz="4" w:space="0"/>
              <w:left w:val="nil"/>
              <w:right w:val="single" w:color="auto" w:sz="4" w:space="0"/>
            </w:tcBorders>
            <w:shd w:val="clear" w:color="auto" w:fill="FFFFFF"/>
            <w:vAlign w:val="center"/>
          </w:tcPr>
          <w:p w14:paraId="5764A6C2">
            <w:pPr>
              <w:widowControl/>
              <w:spacing w:line="240" w:lineRule="atLeast"/>
              <w:jc w:val="center"/>
              <w:rPr>
                <w:rFonts w:hAnsi="宋体"/>
                <w:color w:val="auto"/>
                <w:sz w:val="21"/>
                <w:szCs w:val="21"/>
                <w:highlight w:val="none"/>
              </w:rPr>
            </w:pPr>
            <w:r>
              <w:rPr>
                <w:rFonts w:hint="eastAsia" w:hAnsi="宋体"/>
                <w:color w:val="auto"/>
                <w:sz w:val="21"/>
                <w:szCs w:val="21"/>
                <w:highlight w:val="none"/>
              </w:rPr>
              <w:t>S359</w:t>
            </w:r>
          </w:p>
        </w:tc>
        <w:tc>
          <w:tcPr>
            <w:tcW w:w="1549" w:type="pct"/>
            <w:tcBorders>
              <w:top w:val="single" w:color="auto" w:sz="4" w:space="0"/>
              <w:left w:val="nil"/>
              <w:bottom w:val="single" w:color="auto" w:sz="4" w:space="0"/>
              <w:right w:val="single" w:color="auto" w:sz="4" w:space="0"/>
            </w:tcBorders>
            <w:shd w:val="clear" w:color="auto" w:fill="FFFFFF"/>
            <w:vAlign w:val="center"/>
          </w:tcPr>
          <w:p w14:paraId="32BD49D7">
            <w:pPr>
              <w:spacing w:line="240" w:lineRule="atLeast"/>
              <w:jc w:val="center"/>
              <w:rPr>
                <w:rFonts w:hAnsi="宋体"/>
                <w:color w:val="auto"/>
                <w:sz w:val="21"/>
                <w:szCs w:val="21"/>
                <w:highlight w:val="none"/>
              </w:rPr>
            </w:pPr>
            <w:r>
              <w:rPr>
                <w:rFonts w:hint="eastAsia" w:hAnsi="宋体"/>
                <w:color w:val="auto"/>
                <w:sz w:val="21"/>
                <w:szCs w:val="21"/>
                <w:highlight w:val="none"/>
              </w:rPr>
              <w:t>G346~常熟界</w:t>
            </w:r>
          </w:p>
        </w:tc>
        <w:tc>
          <w:tcPr>
            <w:tcW w:w="839" w:type="pct"/>
            <w:tcBorders>
              <w:top w:val="single" w:color="auto" w:sz="4" w:space="0"/>
              <w:left w:val="nil"/>
              <w:bottom w:val="single" w:color="auto" w:sz="4" w:space="0"/>
              <w:right w:val="single" w:color="auto" w:sz="4" w:space="0"/>
            </w:tcBorders>
            <w:shd w:val="clear" w:color="auto" w:fill="FFFFFF"/>
            <w:vAlign w:val="center"/>
          </w:tcPr>
          <w:p w14:paraId="4347041C">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restart"/>
            <w:tcBorders>
              <w:top w:val="single" w:color="auto" w:sz="4" w:space="0"/>
              <w:left w:val="nil"/>
              <w:right w:val="single" w:color="auto" w:sz="4" w:space="0"/>
            </w:tcBorders>
            <w:vAlign w:val="center"/>
          </w:tcPr>
          <w:p w14:paraId="4A2826CA">
            <w:pPr>
              <w:widowControl/>
              <w:spacing w:line="240" w:lineRule="atLeast"/>
              <w:jc w:val="center"/>
              <w:rPr>
                <w:rFonts w:hAnsi="宋体"/>
                <w:color w:val="auto"/>
                <w:sz w:val="21"/>
                <w:szCs w:val="21"/>
                <w:highlight w:val="none"/>
              </w:rPr>
            </w:pPr>
            <w:r>
              <w:rPr>
                <w:rFonts w:hint="eastAsia" w:hAnsi="宋体"/>
                <w:color w:val="auto"/>
                <w:sz w:val="21"/>
                <w:szCs w:val="21"/>
                <w:highlight w:val="none"/>
              </w:rPr>
              <w:t>19.12</w:t>
            </w:r>
          </w:p>
        </w:tc>
      </w:tr>
      <w:tr w14:paraId="513A2148">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right w:val="single" w:color="auto" w:sz="4" w:space="0"/>
            </w:tcBorders>
            <w:vAlign w:val="center"/>
          </w:tcPr>
          <w:p w14:paraId="472CE617">
            <w:pPr>
              <w:widowControl/>
              <w:spacing w:line="240" w:lineRule="atLeast"/>
              <w:jc w:val="center"/>
              <w:rPr>
                <w:rFonts w:hAnsi="宋体"/>
                <w:b/>
                <w:bCs/>
                <w:color w:val="auto"/>
                <w:sz w:val="21"/>
                <w:szCs w:val="21"/>
                <w:highlight w:val="none"/>
              </w:rPr>
            </w:pPr>
          </w:p>
        </w:tc>
        <w:tc>
          <w:tcPr>
            <w:tcW w:w="988" w:type="pct"/>
            <w:vMerge w:val="continue"/>
            <w:tcBorders>
              <w:left w:val="nil"/>
              <w:bottom w:val="single" w:color="auto" w:sz="4" w:space="0"/>
              <w:right w:val="single" w:color="auto" w:sz="4" w:space="0"/>
            </w:tcBorders>
            <w:shd w:val="clear" w:color="auto" w:fill="FFFFFF"/>
            <w:vAlign w:val="center"/>
          </w:tcPr>
          <w:p w14:paraId="36107BE2">
            <w:pPr>
              <w:widowControl/>
              <w:spacing w:line="240" w:lineRule="atLeast"/>
              <w:jc w:val="center"/>
              <w:rPr>
                <w:rFonts w:hAnsi="宋体"/>
                <w:color w:val="auto"/>
                <w:sz w:val="21"/>
                <w:szCs w:val="21"/>
                <w:highlight w:val="none"/>
              </w:rPr>
            </w:pPr>
          </w:p>
        </w:tc>
        <w:tc>
          <w:tcPr>
            <w:tcW w:w="1549" w:type="pct"/>
            <w:tcBorders>
              <w:top w:val="single" w:color="auto" w:sz="4" w:space="0"/>
              <w:left w:val="nil"/>
              <w:bottom w:val="single" w:color="auto" w:sz="4" w:space="0"/>
              <w:right w:val="single" w:color="auto" w:sz="4" w:space="0"/>
            </w:tcBorders>
            <w:shd w:val="clear" w:color="auto" w:fill="FFFFFF"/>
            <w:vAlign w:val="center"/>
          </w:tcPr>
          <w:p w14:paraId="5B763116">
            <w:pPr>
              <w:spacing w:line="240" w:lineRule="atLeast"/>
              <w:jc w:val="center"/>
              <w:rPr>
                <w:rFonts w:hAnsi="宋体"/>
                <w:color w:val="auto"/>
                <w:sz w:val="21"/>
                <w:szCs w:val="21"/>
                <w:highlight w:val="none"/>
              </w:rPr>
            </w:pPr>
            <w:r>
              <w:rPr>
                <w:rFonts w:hint="eastAsia" w:hAnsi="宋体"/>
                <w:color w:val="auto"/>
                <w:sz w:val="21"/>
                <w:szCs w:val="21"/>
                <w:highlight w:val="none"/>
              </w:rPr>
              <w:t>岳鹿公路上跨桥</w:t>
            </w:r>
          </w:p>
        </w:tc>
        <w:tc>
          <w:tcPr>
            <w:tcW w:w="839" w:type="pct"/>
            <w:tcBorders>
              <w:top w:val="single" w:color="auto" w:sz="4" w:space="0"/>
              <w:left w:val="nil"/>
              <w:bottom w:val="single" w:color="auto" w:sz="4" w:space="0"/>
              <w:right w:val="single" w:color="auto" w:sz="4" w:space="0"/>
            </w:tcBorders>
            <w:shd w:val="clear" w:color="auto" w:fill="FFFFFF"/>
            <w:vAlign w:val="center"/>
          </w:tcPr>
          <w:p w14:paraId="5758B2DE">
            <w:pPr>
              <w:widowControl/>
              <w:spacing w:line="240" w:lineRule="atLeast"/>
              <w:jc w:val="center"/>
              <w:textAlignment w:val="center"/>
              <w:rPr>
                <w:rFonts w:hAnsi="宋体"/>
                <w:color w:val="auto"/>
                <w:sz w:val="21"/>
                <w:szCs w:val="21"/>
                <w:highlight w:val="none"/>
              </w:rPr>
            </w:pPr>
            <w:r>
              <w:rPr>
                <w:rFonts w:hint="eastAsia" w:hAnsi="宋体"/>
                <w:color w:val="auto"/>
                <w:sz w:val="21"/>
                <w:szCs w:val="21"/>
                <w:highlight w:val="none"/>
              </w:rPr>
              <w:t>太仓市</w:t>
            </w:r>
          </w:p>
        </w:tc>
        <w:tc>
          <w:tcPr>
            <w:tcW w:w="940" w:type="pct"/>
            <w:vMerge w:val="continue"/>
            <w:tcBorders>
              <w:left w:val="nil"/>
              <w:bottom w:val="single" w:color="auto" w:sz="4" w:space="0"/>
              <w:right w:val="single" w:color="auto" w:sz="4" w:space="0"/>
            </w:tcBorders>
            <w:vAlign w:val="center"/>
          </w:tcPr>
          <w:p w14:paraId="3DF7BF36">
            <w:pPr>
              <w:widowControl/>
              <w:spacing w:line="240" w:lineRule="atLeast"/>
              <w:jc w:val="center"/>
              <w:rPr>
                <w:rFonts w:hAnsi="宋体"/>
                <w:color w:val="auto"/>
                <w:sz w:val="21"/>
                <w:szCs w:val="21"/>
                <w:highlight w:val="none"/>
              </w:rPr>
            </w:pPr>
          </w:p>
        </w:tc>
      </w:tr>
      <w:tr w14:paraId="37860212">
        <w:tblPrEx>
          <w:tblCellMar>
            <w:top w:w="0" w:type="dxa"/>
            <w:left w:w="108" w:type="dxa"/>
            <w:bottom w:w="0" w:type="dxa"/>
            <w:right w:w="108" w:type="dxa"/>
          </w:tblCellMar>
        </w:tblPrEx>
        <w:trPr>
          <w:trHeight w:val="488" w:hRule="atLeast"/>
          <w:jc w:val="center"/>
        </w:trPr>
        <w:tc>
          <w:tcPr>
            <w:tcW w:w="681" w:type="pct"/>
            <w:vMerge w:val="continue"/>
            <w:tcBorders>
              <w:left w:val="single" w:color="auto" w:sz="4" w:space="0"/>
              <w:bottom w:val="single" w:color="auto" w:sz="4" w:space="0"/>
              <w:right w:val="single" w:color="auto" w:sz="4" w:space="0"/>
            </w:tcBorders>
            <w:vAlign w:val="center"/>
          </w:tcPr>
          <w:p w14:paraId="6C466353">
            <w:pPr>
              <w:widowControl/>
              <w:spacing w:line="240" w:lineRule="atLeast"/>
              <w:jc w:val="center"/>
              <w:rPr>
                <w:rFonts w:hAnsi="宋体"/>
                <w:b/>
                <w:bCs/>
                <w:color w:val="auto"/>
                <w:sz w:val="21"/>
                <w:szCs w:val="21"/>
                <w:highlight w:val="none"/>
              </w:rPr>
            </w:pPr>
          </w:p>
        </w:tc>
        <w:tc>
          <w:tcPr>
            <w:tcW w:w="4318" w:type="pct"/>
            <w:gridSpan w:val="4"/>
            <w:tcBorders>
              <w:left w:val="nil"/>
              <w:bottom w:val="single" w:color="auto" w:sz="4" w:space="0"/>
              <w:right w:val="single" w:color="auto" w:sz="4" w:space="0"/>
            </w:tcBorders>
            <w:shd w:val="clear" w:color="auto" w:fill="FFFFFF"/>
            <w:vAlign w:val="center"/>
          </w:tcPr>
          <w:p w14:paraId="0F608F63">
            <w:pPr>
              <w:widowControl/>
              <w:spacing w:line="240" w:lineRule="atLeast"/>
              <w:jc w:val="center"/>
              <w:rPr>
                <w:rFonts w:hAnsi="宋体"/>
                <w:color w:val="auto"/>
                <w:sz w:val="21"/>
                <w:szCs w:val="21"/>
                <w:highlight w:val="none"/>
              </w:rPr>
            </w:pPr>
            <w:r>
              <w:rPr>
                <w:rFonts w:hint="eastAsia" w:hAnsi="宋体"/>
                <w:color w:val="auto"/>
                <w:sz w:val="21"/>
                <w:szCs w:val="21"/>
                <w:highlight w:val="none"/>
              </w:rPr>
              <w:t>涉及G634太仓段以实际接养情况计算里程</w:t>
            </w:r>
          </w:p>
        </w:tc>
      </w:tr>
      <w:tr w14:paraId="417FD75F">
        <w:tblPrEx>
          <w:tblCellMar>
            <w:top w:w="0" w:type="dxa"/>
            <w:left w:w="108" w:type="dxa"/>
            <w:bottom w:w="0" w:type="dxa"/>
            <w:right w:w="108" w:type="dxa"/>
          </w:tblCellMar>
        </w:tblPrEx>
        <w:trPr>
          <w:trHeight w:val="565" w:hRule="atLeast"/>
          <w:jc w:val="center"/>
        </w:trPr>
        <w:tc>
          <w:tcPr>
            <w:tcW w:w="3219" w:type="pct"/>
            <w:gridSpan w:val="3"/>
            <w:tcBorders>
              <w:top w:val="single" w:color="auto" w:sz="4" w:space="0"/>
              <w:left w:val="single" w:color="auto" w:sz="4" w:space="0"/>
              <w:bottom w:val="single" w:color="auto" w:sz="4" w:space="0"/>
              <w:right w:val="single" w:color="auto" w:sz="4" w:space="0"/>
            </w:tcBorders>
            <w:vAlign w:val="center"/>
          </w:tcPr>
          <w:p w14:paraId="59C03A80">
            <w:pPr>
              <w:widowControl/>
              <w:jc w:val="center"/>
              <w:rPr>
                <w:rFonts w:hAnsi="宋体"/>
                <w:b/>
                <w:bCs/>
                <w:color w:val="auto"/>
                <w:sz w:val="21"/>
                <w:szCs w:val="21"/>
                <w:highlight w:val="none"/>
              </w:rPr>
            </w:pPr>
            <w:r>
              <w:rPr>
                <w:rFonts w:hint="eastAsia" w:hAnsi="宋体"/>
                <w:b/>
                <w:bCs/>
                <w:color w:val="auto"/>
                <w:sz w:val="21"/>
                <w:szCs w:val="21"/>
                <w:highlight w:val="none"/>
              </w:rPr>
              <w:t>合计</w:t>
            </w:r>
          </w:p>
        </w:tc>
        <w:tc>
          <w:tcPr>
            <w:tcW w:w="839" w:type="pct"/>
            <w:tcBorders>
              <w:top w:val="nil"/>
              <w:left w:val="nil"/>
              <w:bottom w:val="single" w:color="auto" w:sz="4" w:space="0"/>
              <w:right w:val="single" w:color="auto" w:sz="4" w:space="0"/>
            </w:tcBorders>
            <w:vAlign w:val="center"/>
          </w:tcPr>
          <w:p w14:paraId="2BD3156E">
            <w:pPr>
              <w:widowControl/>
              <w:rPr>
                <w:rFonts w:hAnsi="宋体"/>
                <w:color w:val="auto"/>
                <w:sz w:val="21"/>
                <w:szCs w:val="21"/>
                <w:highlight w:val="none"/>
              </w:rPr>
            </w:pPr>
            <w:r>
              <w:rPr>
                <w:rFonts w:hint="eastAsia" w:hAnsi="宋体"/>
                <w:color w:val="auto"/>
                <w:sz w:val="21"/>
                <w:szCs w:val="21"/>
                <w:highlight w:val="none"/>
              </w:rPr>
              <w:t>　</w:t>
            </w:r>
          </w:p>
        </w:tc>
        <w:tc>
          <w:tcPr>
            <w:tcW w:w="940" w:type="pct"/>
            <w:tcBorders>
              <w:top w:val="nil"/>
              <w:left w:val="nil"/>
              <w:bottom w:val="single" w:color="auto" w:sz="4" w:space="0"/>
              <w:right w:val="single" w:color="auto" w:sz="4" w:space="0"/>
            </w:tcBorders>
            <w:vAlign w:val="center"/>
          </w:tcPr>
          <w:p w14:paraId="6786ECFD">
            <w:pPr>
              <w:widowControl/>
              <w:jc w:val="center"/>
              <w:rPr>
                <w:rFonts w:hAnsi="宋体"/>
                <w:color w:val="auto"/>
                <w:sz w:val="21"/>
                <w:szCs w:val="21"/>
                <w:highlight w:val="none"/>
              </w:rPr>
            </w:pPr>
            <w:r>
              <w:rPr>
                <w:rFonts w:hint="eastAsia" w:hAnsi="宋体"/>
                <w:color w:val="auto"/>
                <w:sz w:val="21"/>
                <w:szCs w:val="21"/>
                <w:highlight w:val="none"/>
              </w:rPr>
              <w:t xml:space="preserve">103.937 </w:t>
            </w:r>
          </w:p>
        </w:tc>
      </w:tr>
    </w:tbl>
    <w:p w14:paraId="106C5306">
      <w:pPr>
        <w:snapToGrid w:val="0"/>
        <w:spacing w:line="360" w:lineRule="auto"/>
        <w:ind w:firstLine="482"/>
        <w:rPr>
          <w:rFonts w:hAnsi="宋体"/>
          <w:b/>
          <w:bCs/>
          <w:color w:val="auto"/>
          <w:sz w:val="24"/>
          <w:szCs w:val="24"/>
          <w:highlight w:val="none"/>
        </w:rPr>
      </w:pPr>
      <w:r>
        <w:rPr>
          <w:rFonts w:hint="eastAsia" w:hAnsi="宋体"/>
          <w:b/>
          <w:bCs/>
          <w:color w:val="auto"/>
          <w:sz w:val="24"/>
          <w:szCs w:val="24"/>
          <w:highlight w:val="none"/>
        </w:rPr>
        <w:t>（四）服务清单（投标请按此清单进行报价）</w:t>
      </w:r>
    </w:p>
    <w:tbl>
      <w:tblPr>
        <w:tblStyle w:val="42"/>
        <w:tblW w:w="972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Layout w:type="autofit"/>
        <w:tblCellMar>
          <w:top w:w="0" w:type="dxa"/>
          <w:left w:w="108" w:type="dxa"/>
          <w:bottom w:w="0" w:type="dxa"/>
          <w:right w:w="108" w:type="dxa"/>
        </w:tblCellMar>
      </w:tblPr>
      <w:tblGrid>
        <w:gridCol w:w="699"/>
        <w:gridCol w:w="1098"/>
        <w:gridCol w:w="2339"/>
        <w:gridCol w:w="921"/>
        <w:gridCol w:w="1371"/>
        <w:gridCol w:w="650"/>
        <w:gridCol w:w="709"/>
        <w:gridCol w:w="1933"/>
      </w:tblGrid>
      <w:tr w14:paraId="68E6F0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jc w:val="center"/>
        </w:trPr>
        <w:tc>
          <w:tcPr>
            <w:tcW w:w="699" w:type="dxa"/>
            <w:shd w:val="clear" w:color="auto" w:fill="FFFFFF" w:themeFill="background1"/>
            <w:vAlign w:val="center"/>
          </w:tcPr>
          <w:p w14:paraId="032E6442">
            <w:pPr>
              <w:widowControl/>
              <w:jc w:val="center"/>
              <w:rPr>
                <w:rFonts w:hAnsi="宋体"/>
                <w:color w:val="auto"/>
                <w:sz w:val="21"/>
                <w:szCs w:val="21"/>
                <w:highlight w:val="none"/>
              </w:rPr>
            </w:pPr>
            <w:r>
              <w:rPr>
                <w:rFonts w:hint="eastAsia" w:hAnsi="宋体"/>
                <w:color w:val="auto"/>
                <w:sz w:val="21"/>
                <w:szCs w:val="21"/>
                <w:highlight w:val="none"/>
              </w:rPr>
              <w:t>服务项目</w:t>
            </w:r>
          </w:p>
        </w:tc>
        <w:tc>
          <w:tcPr>
            <w:tcW w:w="1098" w:type="dxa"/>
            <w:shd w:val="clear" w:color="auto" w:fill="FFFFFF" w:themeFill="background1"/>
            <w:vAlign w:val="center"/>
          </w:tcPr>
          <w:p w14:paraId="57FDA125">
            <w:pPr>
              <w:widowControl/>
              <w:jc w:val="center"/>
              <w:rPr>
                <w:rFonts w:hAnsi="宋体"/>
                <w:color w:val="auto"/>
                <w:sz w:val="21"/>
                <w:szCs w:val="21"/>
                <w:highlight w:val="none"/>
              </w:rPr>
            </w:pPr>
            <w:r>
              <w:rPr>
                <w:rFonts w:hint="eastAsia" w:hAnsi="宋体"/>
                <w:color w:val="auto"/>
                <w:sz w:val="21"/>
                <w:szCs w:val="21"/>
                <w:highlight w:val="none"/>
              </w:rPr>
              <w:t>服务内容</w:t>
            </w:r>
          </w:p>
        </w:tc>
        <w:tc>
          <w:tcPr>
            <w:tcW w:w="2339" w:type="dxa"/>
            <w:shd w:val="clear" w:color="auto" w:fill="FFFFFF" w:themeFill="background1"/>
            <w:vAlign w:val="center"/>
          </w:tcPr>
          <w:p w14:paraId="53B22D05">
            <w:pPr>
              <w:widowControl/>
              <w:jc w:val="center"/>
              <w:rPr>
                <w:rFonts w:hAnsi="宋体"/>
                <w:color w:val="auto"/>
                <w:sz w:val="21"/>
                <w:szCs w:val="21"/>
                <w:highlight w:val="none"/>
              </w:rPr>
            </w:pPr>
            <w:r>
              <w:rPr>
                <w:rFonts w:hint="eastAsia" w:hAnsi="宋体"/>
                <w:color w:val="auto"/>
                <w:sz w:val="21"/>
                <w:szCs w:val="21"/>
                <w:highlight w:val="none"/>
              </w:rPr>
              <w:t>工作要求</w:t>
            </w:r>
          </w:p>
        </w:tc>
        <w:tc>
          <w:tcPr>
            <w:tcW w:w="921" w:type="dxa"/>
            <w:shd w:val="clear" w:color="auto" w:fill="FFFFFF" w:themeFill="background1"/>
            <w:vAlign w:val="center"/>
          </w:tcPr>
          <w:p w14:paraId="0F35E9BA">
            <w:pPr>
              <w:widowControl/>
              <w:jc w:val="center"/>
              <w:rPr>
                <w:rFonts w:hAnsi="宋体"/>
                <w:color w:val="auto"/>
                <w:sz w:val="21"/>
                <w:szCs w:val="21"/>
                <w:highlight w:val="none"/>
              </w:rPr>
            </w:pPr>
            <w:r>
              <w:rPr>
                <w:rFonts w:hint="eastAsia" w:hAnsi="宋体"/>
                <w:color w:val="auto"/>
                <w:sz w:val="21"/>
                <w:szCs w:val="21"/>
                <w:highlight w:val="none"/>
              </w:rPr>
              <w:t>国省道\县道</w:t>
            </w:r>
          </w:p>
        </w:tc>
        <w:tc>
          <w:tcPr>
            <w:tcW w:w="1371" w:type="dxa"/>
            <w:shd w:val="clear" w:color="auto" w:fill="FFFFFF" w:themeFill="background1"/>
            <w:vAlign w:val="center"/>
          </w:tcPr>
          <w:p w14:paraId="77047109">
            <w:pPr>
              <w:widowControl/>
              <w:jc w:val="center"/>
              <w:rPr>
                <w:rFonts w:hAnsi="宋体"/>
                <w:color w:val="auto"/>
                <w:sz w:val="21"/>
                <w:szCs w:val="21"/>
                <w:highlight w:val="none"/>
              </w:rPr>
            </w:pPr>
            <w:r>
              <w:rPr>
                <w:rFonts w:hint="eastAsia" w:hAnsi="宋体"/>
                <w:color w:val="auto"/>
                <w:sz w:val="21"/>
                <w:szCs w:val="21"/>
                <w:highlight w:val="none"/>
              </w:rPr>
              <w:t>服务期限</w:t>
            </w:r>
          </w:p>
        </w:tc>
        <w:tc>
          <w:tcPr>
            <w:tcW w:w="650" w:type="dxa"/>
            <w:shd w:val="clear" w:color="auto" w:fill="FFFFFF" w:themeFill="background1"/>
            <w:vAlign w:val="center"/>
          </w:tcPr>
          <w:p w14:paraId="427A28C4">
            <w:pPr>
              <w:widowControl/>
              <w:jc w:val="center"/>
              <w:rPr>
                <w:rFonts w:hAnsi="宋体"/>
                <w:color w:val="auto"/>
                <w:sz w:val="21"/>
                <w:szCs w:val="21"/>
                <w:highlight w:val="none"/>
              </w:rPr>
            </w:pPr>
            <w:r>
              <w:rPr>
                <w:rFonts w:hint="eastAsia" w:hAnsi="宋体"/>
                <w:color w:val="auto"/>
                <w:sz w:val="21"/>
                <w:szCs w:val="21"/>
                <w:highlight w:val="none"/>
              </w:rPr>
              <w:t>单位</w:t>
            </w:r>
          </w:p>
        </w:tc>
        <w:tc>
          <w:tcPr>
            <w:tcW w:w="709" w:type="dxa"/>
            <w:shd w:val="clear" w:color="auto" w:fill="FFFFFF" w:themeFill="background1"/>
            <w:vAlign w:val="center"/>
          </w:tcPr>
          <w:p w14:paraId="52B3E1A6">
            <w:pPr>
              <w:widowControl/>
              <w:jc w:val="center"/>
              <w:rPr>
                <w:rFonts w:hAnsi="宋体"/>
                <w:color w:val="auto"/>
                <w:sz w:val="21"/>
                <w:szCs w:val="21"/>
                <w:highlight w:val="none"/>
              </w:rPr>
            </w:pPr>
            <w:r>
              <w:rPr>
                <w:rFonts w:hint="eastAsia" w:hAnsi="宋体"/>
                <w:color w:val="auto"/>
                <w:sz w:val="21"/>
                <w:szCs w:val="21"/>
                <w:highlight w:val="none"/>
              </w:rPr>
              <w:t>数量</w:t>
            </w:r>
          </w:p>
        </w:tc>
        <w:tc>
          <w:tcPr>
            <w:tcW w:w="1933" w:type="dxa"/>
            <w:shd w:val="clear" w:color="auto" w:fill="FFFFFF" w:themeFill="background1"/>
            <w:vAlign w:val="center"/>
          </w:tcPr>
          <w:p w14:paraId="3D641228">
            <w:pPr>
              <w:widowControl/>
              <w:jc w:val="center"/>
              <w:rPr>
                <w:rFonts w:hAnsi="宋体"/>
                <w:color w:val="auto"/>
                <w:sz w:val="21"/>
                <w:szCs w:val="21"/>
                <w:highlight w:val="none"/>
              </w:rPr>
            </w:pPr>
            <w:r>
              <w:rPr>
                <w:rFonts w:hint="eastAsia" w:hAnsi="宋体"/>
                <w:color w:val="auto"/>
                <w:sz w:val="21"/>
                <w:szCs w:val="21"/>
                <w:highlight w:val="none"/>
              </w:rPr>
              <w:t>备注</w:t>
            </w:r>
          </w:p>
        </w:tc>
      </w:tr>
      <w:tr w14:paraId="3D5B4A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7" w:hRule="atLeast"/>
          <w:jc w:val="center"/>
        </w:trPr>
        <w:tc>
          <w:tcPr>
            <w:tcW w:w="699" w:type="dxa"/>
            <w:vMerge w:val="restart"/>
            <w:shd w:val="clear" w:color="auto" w:fill="FFFFFF" w:themeFill="background1"/>
            <w:noWrap/>
            <w:vAlign w:val="center"/>
          </w:tcPr>
          <w:p w14:paraId="41E24FA4">
            <w:pPr>
              <w:widowControl/>
              <w:jc w:val="center"/>
              <w:rPr>
                <w:rFonts w:hAnsi="宋体"/>
                <w:color w:val="auto"/>
                <w:sz w:val="21"/>
                <w:szCs w:val="21"/>
                <w:highlight w:val="none"/>
              </w:rPr>
            </w:pPr>
            <w:r>
              <w:rPr>
                <w:rFonts w:hint="eastAsia" w:hAnsi="宋体"/>
                <w:color w:val="auto"/>
                <w:sz w:val="21"/>
                <w:szCs w:val="21"/>
                <w:highlight w:val="none"/>
              </w:rPr>
              <w:t>人工保洁</w:t>
            </w:r>
          </w:p>
        </w:tc>
        <w:tc>
          <w:tcPr>
            <w:tcW w:w="1098" w:type="dxa"/>
            <w:vMerge w:val="restart"/>
            <w:shd w:val="clear" w:color="auto" w:fill="FFFFFF" w:themeFill="background1"/>
            <w:vAlign w:val="center"/>
          </w:tcPr>
          <w:p w14:paraId="12D4BB87">
            <w:pPr>
              <w:widowControl/>
              <w:jc w:val="center"/>
              <w:rPr>
                <w:rFonts w:hAnsi="宋体"/>
                <w:color w:val="auto"/>
                <w:sz w:val="21"/>
                <w:szCs w:val="21"/>
                <w:highlight w:val="none"/>
              </w:rPr>
            </w:pPr>
            <w:r>
              <w:rPr>
                <w:rFonts w:hint="eastAsia" w:hAnsi="宋体"/>
                <w:color w:val="auto"/>
                <w:sz w:val="21"/>
                <w:szCs w:val="21"/>
                <w:highlight w:val="none"/>
              </w:rPr>
              <w:t>路肩清理</w:t>
            </w:r>
          </w:p>
        </w:tc>
        <w:tc>
          <w:tcPr>
            <w:tcW w:w="2339" w:type="dxa"/>
            <w:vMerge w:val="restart"/>
            <w:shd w:val="clear" w:color="auto" w:fill="FFFFFF" w:themeFill="background1"/>
            <w:vAlign w:val="center"/>
          </w:tcPr>
          <w:p w14:paraId="6EBF2E9D">
            <w:pPr>
              <w:widowControl/>
              <w:rPr>
                <w:rFonts w:hAnsi="宋体"/>
                <w:color w:val="auto"/>
                <w:sz w:val="21"/>
                <w:szCs w:val="21"/>
                <w:highlight w:val="none"/>
              </w:rPr>
            </w:pPr>
            <w:r>
              <w:rPr>
                <w:rFonts w:hint="eastAsia" w:hAnsi="宋体"/>
                <w:color w:val="auto"/>
                <w:sz w:val="21"/>
                <w:szCs w:val="21"/>
                <w:highlight w:val="none"/>
              </w:rPr>
              <w:t>1.杂草修剪，杂物清除;2.废料装卸、运输、定点堆放；3.确保路肩无高草、杂物。</w:t>
            </w:r>
          </w:p>
        </w:tc>
        <w:tc>
          <w:tcPr>
            <w:tcW w:w="921" w:type="dxa"/>
            <w:shd w:val="clear" w:color="auto" w:fill="FFFFFF" w:themeFill="background1"/>
            <w:vAlign w:val="center"/>
          </w:tcPr>
          <w:p w14:paraId="05D3AD8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64B63AE3">
            <w:pPr>
              <w:widowControl/>
              <w:jc w:val="center"/>
              <w:rPr>
                <w:rFonts w:hAnsi="宋体"/>
                <w:color w:val="auto"/>
                <w:sz w:val="21"/>
                <w:szCs w:val="21"/>
                <w:highlight w:val="none"/>
              </w:rPr>
            </w:pPr>
            <w:r>
              <w:rPr>
                <w:rFonts w:hint="eastAsia" w:hAnsi="宋体"/>
                <w:color w:val="auto"/>
                <w:sz w:val="21"/>
                <w:szCs w:val="21"/>
                <w:highlight w:val="none"/>
              </w:rPr>
              <w:t>2026.08.01-2027.07.31</w:t>
            </w:r>
          </w:p>
        </w:tc>
        <w:tc>
          <w:tcPr>
            <w:tcW w:w="650" w:type="dxa"/>
            <w:vMerge w:val="restart"/>
            <w:shd w:val="clear" w:color="auto" w:fill="FFFFFF" w:themeFill="background1"/>
            <w:vAlign w:val="center"/>
          </w:tcPr>
          <w:p w14:paraId="0DD76C4E">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695CC35A">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647C62A9">
            <w:pPr>
              <w:widowControl/>
              <w:jc w:val="both"/>
              <w:rPr>
                <w:rFonts w:hAnsi="宋体"/>
                <w:color w:val="auto"/>
                <w:sz w:val="21"/>
                <w:szCs w:val="21"/>
                <w:highlight w:val="none"/>
              </w:rPr>
            </w:pPr>
          </w:p>
        </w:tc>
      </w:tr>
      <w:tr w14:paraId="444B05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F548F76">
            <w:pPr>
              <w:widowControl/>
              <w:rPr>
                <w:rFonts w:hAnsi="宋体"/>
                <w:color w:val="auto"/>
                <w:sz w:val="21"/>
                <w:szCs w:val="21"/>
                <w:highlight w:val="none"/>
              </w:rPr>
            </w:pPr>
          </w:p>
        </w:tc>
        <w:tc>
          <w:tcPr>
            <w:tcW w:w="1098" w:type="dxa"/>
            <w:vMerge w:val="continue"/>
            <w:shd w:val="clear" w:color="auto" w:fill="FFFFFF" w:themeFill="background1"/>
            <w:vAlign w:val="center"/>
          </w:tcPr>
          <w:p w14:paraId="1DE2A5C0">
            <w:pPr>
              <w:widowControl/>
              <w:rPr>
                <w:rFonts w:hAnsi="宋体"/>
                <w:color w:val="auto"/>
                <w:sz w:val="21"/>
                <w:szCs w:val="21"/>
                <w:highlight w:val="none"/>
              </w:rPr>
            </w:pPr>
          </w:p>
        </w:tc>
        <w:tc>
          <w:tcPr>
            <w:tcW w:w="2339" w:type="dxa"/>
            <w:vMerge w:val="continue"/>
            <w:shd w:val="clear" w:color="auto" w:fill="FFFFFF" w:themeFill="background1"/>
            <w:vAlign w:val="center"/>
          </w:tcPr>
          <w:p w14:paraId="175076C6">
            <w:pPr>
              <w:widowControl/>
              <w:rPr>
                <w:rFonts w:hAnsi="宋体"/>
                <w:color w:val="auto"/>
                <w:sz w:val="21"/>
                <w:szCs w:val="21"/>
                <w:highlight w:val="none"/>
              </w:rPr>
            </w:pPr>
          </w:p>
        </w:tc>
        <w:tc>
          <w:tcPr>
            <w:tcW w:w="921" w:type="dxa"/>
            <w:shd w:val="clear" w:color="auto" w:fill="FFFFFF" w:themeFill="background1"/>
            <w:vAlign w:val="center"/>
          </w:tcPr>
          <w:p w14:paraId="01851E4F">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51F9912F">
            <w:pPr>
              <w:widowControl/>
              <w:rPr>
                <w:rFonts w:hAnsi="宋体"/>
                <w:color w:val="auto"/>
                <w:sz w:val="21"/>
                <w:szCs w:val="21"/>
                <w:highlight w:val="none"/>
              </w:rPr>
            </w:pPr>
          </w:p>
        </w:tc>
        <w:tc>
          <w:tcPr>
            <w:tcW w:w="650" w:type="dxa"/>
            <w:vMerge w:val="continue"/>
            <w:shd w:val="clear" w:color="auto" w:fill="FFFFFF" w:themeFill="background1"/>
            <w:vAlign w:val="center"/>
          </w:tcPr>
          <w:p w14:paraId="5A45FFB2">
            <w:pPr>
              <w:widowControl/>
              <w:rPr>
                <w:rFonts w:hAnsi="宋体"/>
                <w:color w:val="auto"/>
                <w:sz w:val="21"/>
                <w:szCs w:val="21"/>
                <w:highlight w:val="none"/>
              </w:rPr>
            </w:pPr>
          </w:p>
        </w:tc>
        <w:tc>
          <w:tcPr>
            <w:tcW w:w="709" w:type="dxa"/>
            <w:shd w:val="clear" w:color="auto" w:fill="FFFFFF" w:themeFill="background1"/>
            <w:vAlign w:val="center"/>
          </w:tcPr>
          <w:p w14:paraId="17B87A4E">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1C8C5EBE">
            <w:pPr>
              <w:widowControl/>
              <w:jc w:val="center"/>
              <w:rPr>
                <w:rFonts w:hAnsi="宋体"/>
                <w:color w:val="auto"/>
                <w:sz w:val="21"/>
                <w:szCs w:val="21"/>
                <w:highlight w:val="none"/>
              </w:rPr>
            </w:pPr>
          </w:p>
        </w:tc>
      </w:tr>
      <w:tr w14:paraId="5EE265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52" w:hRule="atLeast"/>
          <w:jc w:val="center"/>
        </w:trPr>
        <w:tc>
          <w:tcPr>
            <w:tcW w:w="699" w:type="dxa"/>
            <w:vMerge w:val="continue"/>
            <w:shd w:val="clear" w:color="auto" w:fill="FFFFFF" w:themeFill="background1"/>
            <w:vAlign w:val="center"/>
          </w:tcPr>
          <w:p w14:paraId="789A21CC">
            <w:pPr>
              <w:widowControl/>
              <w:rPr>
                <w:rFonts w:hAnsi="宋体"/>
                <w:color w:val="auto"/>
                <w:sz w:val="21"/>
                <w:szCs w:val="21"/>
                <w:highlight w:val="none"/>
              </w:rPr>
            </w:pPr>
          </w:p>
        </w:tc>
        <w:tc>
          <w:tcPr>
            <w:tcW w:w="1098" w:type="dxa"/>
            <w:vMerge w:val="restart"/>
            <w:shd w:val="clear" w:color="auto" w:fill="FFFFFF" w:themeFill="background1"/>
            <w:vAlign w:val="center"/>
          </w:tcPr>
          <w:p w14:paraId="101D3F5D">
            <w:pPr>
              <w:widowControl/>
              <w:jc w:val="center"/>
              <w:rPr>
                <w:rFonts w:hAnsi="宋体"/>
                <w:color w:val="auto"/>
                <w:sz w:val="21"/>
                <w:szCs w:val="21"/>
                <w:highlight w:val="none"/>
              </w:rPr>
            </w:pPr>
            <w:r>
              <w:rPr>
                <w:rFonts w:hint="eastAsia" w:hAnsi="宋体"/>
                <w:color w:val="auto"/>
                <w:sz w:val="21"/>
                <w:szCs w:val="21"/>
                <w:highlight w:val="none"/>
              </w:rPr>
              <w:t>防护清理</w:t>
            </w:r>
          </w:p>
        </w:tc>
        <w:tc>
          <w:tcPr>
            <w:tcW w:w="2339" w:type="dxa"/>
            <w:vMerge w:val="restart"/>
            <w:shd w:val="clear" w:color="auto" w:fill="FFFFFF" w:themeFill="background1"/>
            <w:vAlign w:val="center"/>
          </w:tcPr>
          <w:p w14:paraId="2997290F">
            <w:pPr>
              <w:widowControl/>
              <w:rPr>
                <w:rFonts w:hAnsi="宋体"/>
                <w:color w:val="auto"/>
                <w:sz w:val="21"/>
                <w:szCs w:val="21"/>
                <w:highlight w:val="none"/>
              </w:rPr>
            </w:pPr>
            <w:r>
              <w:rPr>
                <w:rFonts w:hint="eastAsia" w:hAnsi="宋体"/>
                <w:color w:val="auto"/>
                <w:sz w:val="21"/>
                <w:szCs w:val="21"/>
                <w:highlight w:val="none"/>
              </w:rPr>
              <w:t>1.坡面整理，缺口培土;2.杂草修剪，杂物清除;3.排(泄)水孔疏通;4.废料装卸、运输、定点堆放。</w:t>
            </w:r>
          </w:p>
        </w:tc>
        <w:tc>
          <w:tcPr>
            <w:tcW w:w="921" w:type="dxa"/>
            <w:shd w:val="clear" w:color="auto" w:fill="FFFFFF" w:themeFill="background1"/>
            <w:vAlign w:val="center"/>
          </w:tcPr>
          <w:p w14:paraId="2EC129E6">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436B84B">
            <w:pPr>
              <w:widowControl/>
              <w:rPr>
                <w:rFonts w:hAnsi="宋体"/>
                <w:color w:val="auto"/>
                <w:sz w:val="21"/>
                <w:szCs w:val="21"/>
                <w:highlight w:val="none"/>
              </w:rPr>
            </w:pPr>
          </w:p>
        </w:tc>
        <w:tc>
          <w:tcPr>
            <w:tcW w:w="650" w:type="dxa"/>
            <w:vMerge w:val="restart"/>
            <w:shd w:val="clear" w:color="auto" w:fill="FFFFFF" w:themeFill="background1"/>
            <w:vAlign w:val="center"/>
          </w:tcPr>
          <w:p w14:paraId="560E8A8E">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168AA49">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2C33BB17">
            <w:pPr>
              <w:widowControl/>
              <w:jc w:val="center"/>
              <w:rPr>
                <w:rFonts w:hAnsi="宋体"/>
                <w:color w:val="auto"/>
                <w:sz w:val="21"/>
                <w:szCs w:val="21"/>
                <w:highlight w:val="none"/>
              </w:rPr>
            </w:pPr>
          </w:p>
        </w:tc>
      </w:tr>
      <w:tr w14:paraId="5BC169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178085E">
            <w:pPr>
              <w:widowControl/>
              <w:rPr>
                <w:rFonts w:hAnsi="宋体"/>
                <w:color w:val="auto"/>
                <w:sz w:val="21"/>
                <w:szCs w:val="21"/>
                <w:highlight w:val="none"/>
              </w:rPr>
            </w:pPr>
          </w:p>
        </w:tc>
        <w:tc>
          <w:tcPr>
            <w:tcW w:w="1098" w:type="dxa"/>
            <w:vMerge w:val="continue"/>
            <w:shd w:val="clear" w:color="auto" w:fill="FFFFFF" w:themeFill="background1"/>
            <w:vAlign w:val="center"/>
          </w:tcPr>
          <w:p w14:paraId="78E4A864">
            <w:pPr>
              <w:widowControl/>
              <w:rPr>
                <w:rFonts w:hAnsi="宋体"/>
                <w:color w:val="auto"/>
                <w:sz w:val="21"/>
                <w:szCs w:val="21"/>
                <w:highlight w:val="none"/>
              </w:rPr>
            </w:pPr>
          </w:p>
        </w:tc>
        <w:tc>
          <w:tcPr>
            <w:tcW w:w="2339" w:type="dxa"/>
            <w:vMerge w:val="continue"/>
            <w:shd w:val="clear" w:color="auto" w:fill="FFFFFF" w:themeFill="background1"/>
            <w:vAlign w:val="center"/>
          </w:tcPr>
          <w:p w14:paraId="1733358B">
            <w:pPr>
              <w:widowControl/>
              <w:rPr>
                <w:rFonts w:hAnsi="宋体"/>
                <w:color w:val="auto"/>
                <w:sz w:val="21"/>
                <w:szCs w:val="21"/>
                <w:highlight w:val="none"/>
              </w:rPr>
            </w:pPr>
          </w:p>
        </w:tc>
        <w:tc>
          <w:tcPr>
            <w:tcW w:w="921" w:type="dxa"/>
            <w:shd w:val="clear" w:color="auto" w:fill="FFFFFF" w:themeFill="background1"/>
            <w:vAlign w:val="center"/>
          </w:tcPr>
          <w:p w14:paraId="37DFF40B">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7C40F8CC">
            <w:pPr>
              <w:widowControl/>
              <w:rPr>
                <w:rFonts w:hAnsi="宋体"/>
                <w:color w:val="auto"/>
                <w:sz w:val="21"/>
                <w:szCs w:val="21"/>
                <w:highlight w:val="none"/>
              </w:rPr>
            </w:pPr>
          </w:p>
        </w:tc>
        <w:tc>
          <w:tcPr>
            <w:tcW w:w="650" w:type="dxa"/>
            <w:vMerge w:val="continue"/>
            <w:shd w:val="clear" w:color="auto" w:fill="FFFFFF" w:themeFill="background1"/>
            <w:vAlign w:val="center"/>
          </w:tcPr>
          <w:p w14:paraId="33AE5857">
            <w:pPr>
              <w:widowControl/>
              <w:rPr>
                <w:rFonts w:hAnsi="宋体"/>
                <w:color w:val="auto"/>
                <w:sz w:val="21"/>
                <w:szCs w:val="21"/>
                <w:highlight w:val="none"/>
              </w:rPr>
            </w:pPr>
          </w:p>
        </w:tc>
        <w:tc>
          <w:tcPr>
            <w:tcW w:w="709" w:type="dxa"/>
            <w:shd w:val="clear" w:color="auto" w:fill="FFFFFF" w:themeFill="background1"/>
            <w:vAlign w:val="center"/>
          </w:tcPr>
          <w:p w14:paraId="26E7100E">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6AE4E56F">
            <w:pPr>
              <w:widowControl/>
              <w:jc w:val="center"/>
              <w:rPr>
                <w:rFonts w:hAnsi="宋体"/>
                <w:color w:val="auto"/>
                <w:sz w:val="21"/>
                <w:szCs w:val="21"/>
                <w:highlight w:val="none"/>
              </w:rPr>
            </w:pPr>
          </w:p>
        </w:tc>
      </w:tr>
      <w:tr w14:paraId="371477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jc w:val="center"/>
        </w:trPr>
        <w:tc>
          <w:tcPr>
            <w:tcW w:w="699" w:type="dxa"/>
            <w:vMerge w:val="continue"/>
            <w:shd w:val="clear" w:color="auto" w:fill="FFFFFF" w:themeFill="background1"/>
            <w:vAlign w:val="center"/>
          </w:tcPr>
          <w:p w14:paraId="34D8C49F">
            <w:pPr>
              <w:widowControl/>
              <w:rPr>
                <w:rFonts w:hAnsi="宋体"/>
                <w:color w:val="auto"/>
                <w:sz w:val="21"/>
                <w:szCs w:val="21"/>
                <w:highlight w:val="none"/>
              </w:rPr>
            </w:pPr>
          </w:p>
        </w:tc>
        <w:tc>
          <w:tcPr>
            <w:tcW w:w="1098" w:type="dxa"/>
            <w:vMerge w:val="restart"/>
            <w:shd w:val="clear" w:color="auto" w:fill="FFFFFF" w:themeFill="background1"/>
            <w:vAlign w:val="center"/>
          </w:tcPr>
          <w:p w14:paraId="3D076845">
            <w:pPr>
              <w:widowControl/>
              <w:jc w:val="center"/>
              <w:rPr>
                <w:rFonts w:hAnsi="宋体"/>
                <w:color w:val="auto"/>
                <w:sz w:val="21"/>
                <w:szCs w:val="21"/>
                <w:highlight w:val="none"/>
              </w:rPr>
            </w:pPr>
            <w:r>
              <w:rPr>
                <w:rFonts w:hint="eastAsia" w:hAnsi="宋体"/>
                <w:color w:val="auto"/>
                <w:sz w:val="21"/>
                <w:szCs w:val="21"/>
                <w:highlight w:val="none"/>
              </w:rPr>
              <w:t>排水设施清理</w:t>
            </w:r>
          </w:p>
        </w:tc>
        <w:tc>
          <w:tcPr>
            <w:tcW w:w="2339" w:type="dxa"/>
            <w:vMerge w:val="restart"/>
            <w:shd w:val="clear" w:color="auto" w:fill="FFFFFF" w:themeFill="background1"/>
            <w:vAlign w:val="center"/>
          </w:tcPr>
          <w:p w14:paraId="1DA5C043">
            <w:pPr>
              <w:widowControl/>
              <w:rPr>
                <w:rFonts w:hAnsi="宋体"/>
                <w:color w:val="auto"/>
                <w:sz w:val="21"/>
                <w:szCs w:val="21"/>
                <w:highlight w:val="none"/>
              </w:rPr>
            </w:pPr>
            <w:r>
              <w:rPr>
                <w:rFonts w:hint="eastAsia" w:hAnsi="宋体"/>
                <w:color w:val="auto"/>
                <w:sz w:val="21"/>
                <w:szCs w:val="21"/>
                <w:highlight w:val="none"/>
              </w:rPr>
              <w:t>1.垃圾、杂物、淤积物等清理;2.疏通;3.废料装卸、运输、定点堆放；4.土边沟开设。</w:t>
            </w:r>
          </w:p>
        </w:tc>
        <w:tc>
          <w:tcPr>
            <w:tcW w:w="921" w:type="dxa"/>
            <w:shd w:val="clear" w:color="auto" w:fill="FFFFFF" w:themeFill="background1"/>
            <w:vAlign w:val="center"/>
          </w:tcPr>
          <w:p w14:paraId="61BB8F7A">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2D4E51CB">
            <w:pPr>
              <w:widowControl/>
              <w:rPr>
                <w:rFonts w:hAnsi="宋体"/>
                <w:color w:val="auto"/>
                <w:sz w:val="21"/>
                <w:szCs w:val="21"/>
                <w:highlight w:val="none"/>
              </w:rPr>
            </w:pPr>
          </w:p>
        </w:tc>
        <w:tc>
          <w:tcPr>
            <w:tcW w:w="650" w:type="dxa"/>
            <w:vMerge w:val="restart"/>
            <w:shd w:val="clear" w:color="auto" w:fill="FFFFFF" w:themeFill="background1"/>
            <w:vAlign w:val="center"/>
          </w:tcPr>
          <w:p w14:paraId="5B81206C">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26FCBAD5">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490E0E15">
            <w:pPr>
              <w:widowControl/>
              <w:jc w:val="center"/>
              <w:rPr>
                <w:rFonts w:hAnsi="宋体"/>
                <w:color w:val="auto"/>
                <w:sz w:val="21"/>
                <w:szCs w:val="21"/>
                <w:highlight w:val="none"/>
              </w:rPr>
            </w:pPr>
          </w:p>
        </w:tc>
      </w:tr>
      <w:tr w14:paraId="28A3A9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47013C7">
            <w:pPr>
              <w:widowControl/>
              <w:rPr>
                <w:rFonts w:hAnsi="宋体"/>
                <w:color w:val="auto"/>
                <w:sz w:val="21"/>
                <w:szCs w:val="21"/>
                <w:highlight w:val="none"/>
              </w:rPr>
            </w:pPr>
          </w:p>
        </w:tc>
        <w:tc>
          <w:tcPr>
            <w:tcW w:w="1098" w:type="dxa"/>
            <w:vMerge w:val="continue"/>
            <w:shd w:val="clear" w:color="auto" w:fill="FFFFFF" w:themeFill="background1"/>
            <w:vAlign w:val="center"/>
          </w:tcPr>
          <w:p w14:paraId="4D0E6AED">
            <w:pPr>
              <w:widowControl/>
              <w:rPr>
                <w:rFonts w:hAnsi="宋体"/>
                <w:color w:val="auto"/>
                <w:sz w:val="21"/>
                <w:szCs w:val="21"/>
                <w:highlight w:val="none"/>
              </w:rPr>
            </w:pPr>
          </w:p>
        </w:tc>
        <w:tc>
          <w:tcPr>
            <w:tcW w:w="2339" w:type="dxa"/>
            <w:vMerge w:val="continue"/>
            <w:shd w:val="clear" w:color="auto" w:fill="FFFFFF" w:themeFill="background1"/>
            <w:vAlign w:val="center"/>
          </w:tcPr>
          <w:p w14:paraId="4B9B4AA6">
            <w:pPr>
              <w:widowControl/>
              <w:rPr>
                <w:rFonts w:hAnsi="宋体"/>
                <w:color w:val="auto"/>
                <w:sz w:val="21"/>
                <w:szCs w:val="21"/>
                <w:highlight w:val="none"/>
              </w:rPr>
            </w:pPr>
          </w:p>
        </w:tc>
        <w:tc>
          <w:tcPr>
            <w:tcW w:w="921" w:type="dxa"/>
            <w:shd w:val="clear" w:color="auto" w:fill="FFFFFF" w:themeFill="background1"/>
            <w:vAlign w:val="center"/>
          </w:tcPr>
          <w:p w14:paraId="6E4E74F1">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13022228">
            <w:pPr>
              <w:widowControl/>
              <w:rPr>
                <w:rFonts w:hAnsi="宋体"/>
                <w:color w:val="auto"/>
                <w:sz w:val="21"/>
                <w:szCs w:val="21"/>
                <w:highlight w:val="none"/>
              </w:rPr>
            </w:pPr>
          </w:p>
        </w:tc>
        <w:tc>
          <w:tcPr>
            <w:tcW w:w="650" w:type="dxa"/>
            <w:vMerge w:val="continue"/>
            <w:shd w:val="clear" w:color="auto" w:fill="FFFFFF" w:themeFill="background1"/>
            <w:vAlign w:val="center"/>
          </w:tcPr>
          <w:p w14:paraId="78ED1541">
            <w:pPr>
              <w:widowControl/>
              <w:rPr>
                <w:rFonts w:hAnsi="宋体"/>
                <w:color w:val="auto"/>
                <w:sz w:val="21"/>
                <w:szCs w:val="21"/>
                <w:highlight w:val="none"/>
              </w:rPr>
            </w:pPr>
          </w:p>
        </w:tc>
        <w:tc>
          <w:tcPr>
            <w:tcW w:w="709" w:type="dxa"/>
            <w:shd w:val="clear" w:color="auto" w:fill="FFFFFF" w:themeFill="background1"/>
            <w:vAlign w:val="center"/>
          </w:tcPr>
          <w:p w14:paraId="7D211A8B">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1FD2860D">
            <w:pPr>
              <w:widowControl/>
              <w:jc w:val="center"/>
              <w:rPr>
                <w:rFonts w:hAnsi="宋体"/>
                <w:color w:val="auto"/>
                <w:sz w:val="21"/>
                <w:szCs w:val="21"/>
                <w:highlight w:val="none"/>
              </w:rPr>
            </w:pPr>
          </w:p>
        </w:tc>
      </w:tr>
      <w:tr w14:paraId="362220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52" w:hRule="atLeast"/>
          <w:jc w:val="center"/>
        </w:trPr>
        <w:tc>
          <w:tcPr>
            <w:tcW w:w="699" w:type="dxa"/>
            <w:vMerge w:val="continue"/>
            <w:shd w:val="clear" w:color="auto" w:fill="FFFFFF" w:themeFill="background1"/>
            <w:vAlign w:val="center"/>
          </w:tcPr>
          <w:p w14:paraId="00059BD3">
            <w:pPr>
              <w:widowControl/>
              <w:rPr>
                <w:rFonts w:hAnsi="宋体"/>
                <w:color w:val="auto"/>
                <w:sz w:val="21"/>
                <w:szCs w:val="21"/>
                <w:highlight w:val="none"/>
              </w:rPr>
            </w:pPr>
          </w:p>
        </w:tc>
        <w:tc>
          <w:tcPr>
            <w:tcW w:w="1098" w:type="dxa"/>
            <w:vMerge w:val="restart"/>
            <w:shd w:val="clear" w:color="auto" w:fill="FFFFFF" w:themeFill="background1"/>
            <w:vAlign w:val="center"/>
          </w:tcPr>
          <w:p w14:paraId="39008773">
            <w:pPr>
              <w:widowControl/>
              <w:jc w:val="center"/>
              <w:rPr>
                <w:rFonts w:hAnsi="宋体"/>
                <w:color w:val="auto"/>
                <w:sz w:val="21"/>
                <w:szCs w:val="21"/>
                <w:highlight w:val="none"/>
              </w:rPr>
            </w:pPr>
            <w:r>
              <w:rPr>
                <w:rFonts w:hint="eastAsia" w:hAnsi="宋体"/>
                <w:color w:val="auto"/>
                <w:sz w:val="21"/>
                <w:szCs w:val="21"/>
                <w:highlight w:val="none"/>
              </w:rPr>
              <w:t>人工清扫</w:t>
            </w:r>
          </w:p>
        </w:tc>
        <w:tc>
          <w:tcPr>
            <w:tcW w:w="2339" w:type="dxa"/>
            <w:vMerge w:val="restart"/>
            <w:shd w:val="clear" w:color="auto" w:fill="FFFFFF" w:themeFill="background1"/>
            <w:vAlign w:val="center"/>
          </w:tcPr>
          <w:p w14:paraId="14E5456D">
            <w:pPr>
              <w:widowControl/>
              <w:rPr>
                <w:rFonts w:hAnsi="宋体"/>
                <w:color w:val="auto"/>
                <w:sz w:val="21"/>
                <w:szCs w:val="21"/>
                <w:highlight w:val="none"/>
              </w:rPr>
            </w:pPr>
            <w:r>
              <w:rPr>
                <w:rFonts w:hint="eastAsia" w:hAnsi="宋体"/>
                <w:color w:val="auto"/>
                <w:sz w:val="21"/>
                <w:szCs w:val="21"/>
                <w:highlight w:val="none"/>
              </w:rPr>
              <w:t>1.人工捡拾或清扫;2.废料装卸、运输、定点堆放。</w:t>
            </w:r>
          </w:p>
        </w:tc>
        <w:tc>
          <w:tcPr>
            <w:tcW w:w="921" w:type="dxa"/>
            <w:shd w:val="clear" w:color="auto" w:fill="FFFFFF" w:themeFill="background1"/>
            <w:vAlign w:val="center"/>
          </w:tcPr>
          <w:p w14:paraId="19999D7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9296883">
            <w:pPr>
              <w:widowControl/>
              <w:rPr>
                <w:rFonts w:hAnsi="宋体"/>
                <w:color w:val="auto"/>
                <w:sz w:val="21"/>
                <w:szCs w:val="21"/>
                <w:highlight w:val="none"/>
              </w:rPr>
            </w:pPr>
          </w:p>
        </w:tc>
        <w:tc>
          <w:tcPr>
            <w:tcW w:w="650" w:type="dxa"/>
            <w:vMerge w:val="restart"/>
            <w:shd w:val="clear" w:color="auto" w:fill="FFFFFF" w:themeFill="background1"/>
            <w:vAlign w:val="center"/>
          </w:tcPr>
          <w:p w14:paraId="3E29E76D">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6D56AB6A">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69A436FA">
            <w:pPr>
              <w:widowControl/>
              <w:jc w:val="center"/>
              <w:rPr>
                <w:rFonts w:hAnsi="宋体"/>
                <w:color w:val="auto"/>
                <w:sz w:val="21"/>
                <w:szCs w:val="21"/>
                <w:highlight w:val="none"/>
              </w:rPr>
            </w:pPr>
            <w:r>
              <w:rPr>
                <w:rFonts w:hint="eastAsia" w:hAnsi="宋体"/>
                <w:color w:val="auto"/>
                <w:sz w:val="21"/>
                <w:szCs w:val="21"/>
                <w:highlight w:val="none"/>
              </w:rPr>
              <w:t>平均每1.5km配一个保洁员，每天作业时间不少于6.5小时。</w:t>
            </w:r>
          </w:p>
        </w:tc>
      </w:tr>
      <w:tr w14:paraId="5BAB2F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7B26AB8">
            <w:pPr>
              <w:widowControl/>
              <w:rPr>
                <w:rFonts w:hAnsi="宋体"/>
                <w:color w:val="auto"/>
                <w:sz w:val="21"/>
                <w:szCs w:val="21"/>
                <w:highlight w:val="none"/>
              </w:rPr>
            </w:pPr>
          </w:p>
        </w:tc>
        <w:tc>
          <w:tcPr>
            <w:tcW w:w="1098" w:type="dxa"/>
            <w:vMerge w:val="continue"/>
            <w:shd w:val="clear" w:color="auto" w:fill="FFFFFF" w:themeFill="background1"/>
            <w:vAlign w:val="center"/>
          </w:tcPr>
          <w:p w14:paraId="6C6AF976">
            <w:pPr>
              <w:widowControl/>
              <w:rPr>
                <w:rFonts w:hAnsi="宋体"/>
                <w:color w:val="auto"/>
                <w:sz w:val="21"/>
                <w:szCs w:val="21"/>
                <w:highlight w:val="none"/>
              </w:rPr>
            </w:pPr>
          </w:p>
        </w:tc>
        <w:tc>
          <w:tcPr>
            <w:tcW w:w="2339" w:type="dxa"/>
            <w:vMerge w:val="continue"/>
            <w:shd w:val="clear" w:color="auto" w:fill="FFFFFF" w:themeFill="background1"/>
            <w:vAlign w:val="center"/>
          </w:tcPr>
          <w:p w14:paraId="674E7469">
            <w:pPr>
              <w:widowControl/>
              <w:rPr>
                <w:rFonts w:hAnsi="宋体"/>
                <w:color w:val="auto"/>
                <w:sz w:val="21"/>
                <w:szCs w:val="21"/>
                <w:highlight w:val="none"/>
              </w:rPr>
            </w:pPr>
          </w:p>
        </w:tc>
        <w:tc>
          <w:tcPr>
            <w:tcW w:w="921" w:type="dxa"/>
            <w:shd w:val="clear" w:color="auto" w:fill="FFFFFF" w:themeFill="background1"/>
            <w:vAlign w:val="center"/>
          </w:tcPr>
          <w:p w14:paraId="55C910E0">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A30570E">
            <w:pPr>
              <w:widowControl/>
              <w:rPr>
                <w:rFonts w:hAnsi="宋体"/>
                <w:color w:val="auto"/>
                <w:sz w:val="21"/>
                <w:szCs w:val="21"/>
                <w:highlight w:val="none"/>
              </w:rPr>
            </w:pPr>
          </w:p>
        </w:tc>
        <w:tc>
          <w:tcPr>
            <w:tcW w:w="650" w:type="dxa"/>
            <w:vMerge w:val="continue"/>
            <w:shd w:val="clear" w:color="auto" w:fill="FFFFFF" w:themeFill="background1"/>
            <w:vAlign w:val="center"/>
          </w:tcPr>
          <w:p w14:paraId="766352D2">
            <w:pPr>
              <w:widowControl/>
              <w:rPr>
                <w:rFonts w:hAnsi="宋体"/>
                <w:color w:val="auto"/>
                <w:sz w:val="21"/>
                <w:szCs w:val="21"/>
                <w:highlight w:val="none"/>
              </w:rPr>
            </w:pPr>
          </w:p>
        </w:tc>
        <w:tc>
          <w:tcPr>
            <w:tcW w:w="709" w:type="dxa"/>
            <w:shd w:val="clear" w:color="auto" w:fill="FFFFFF" w:themeFill="background1"/>
            <w:vAlign w:val="center"/>
          </w:tcPr>
          <w:p w14:paraId="0393C166">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47284A2C">
            <w:pPr>
              <w:widowControl/>
              <w:jc w:val="center"/>
              <w:rPr>
                <w:rFonts w:hAnsi="宋体"/>
                <w:color w:val="auto"/>
                <w:sz w:val="21"/>
                <w:szCs w:val="21"/>
                <w:highlight w:val="none"/>
              </w:rPr>
            </w:pPr>
          </w:p>
        </w:tc>
      </w:tr>
      <w:tr w14:paraId="187E74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36" w:hRule="atLeast"/>
          <w:jc w:val="center"/>
        </w:trPr>
        <w:tc>
          <w:tcPr>
            <w:tcW w:w="699" w:type="dxa"/>
            <w:vMerge w:val="continue"/>
            <w:shd w:val="clear" w:color="auto" w:fill="FFFFFF" w:themeFill="background1"/>
            <w:vAlign w:val="center"/>
          </w:tcPr>
          <w:p w14:paraId="0E9C4E31">
            <w:pPr>
              <w:widowControl/>
              <w:rPr>
                <w:rFonts w:hAnsi="宋体"/>
                <w:color w:val="auto"/>
                <w:sz w:val="21"/>
                <w:szCs w:val="21"/>
                <w:highlight w:val="none"/>
              </w:rPr>
            </w:pPr>
          </w:p>
        </w:tc>
        <w:tc>
          <w:tcPr>
            <w:tcW w:w="1098" w:type="dxa"/>
            <w:vMerge w:val="restart"/>
            <w:shd w:val="clear" w:color="auto" w:fill="FFFFFF" w:themeFill="background1"/>
            <w:vAlign w:val="center"/>
          </w:tcPr>
          <w:p w14:paraId="60AE211B">
            <w:pPr>
              <w:widowControl/>
              <w:jc w:val="center"/>
              <w:rPr>
                <w:rFonts w:hAnsi="宋体"/>
                <w:color w:val="auto"/>
                <w:sz w:val="21"/>
                <w:szCs w:val="21"/>
                <w:highlight w:val="none"/>
              </w:rPr>
            </w:pPr>
            <w:r>
              <w:rPr>
                <w:rFonts w:hint="eastAsia" w:hAnsi="宋体"/>
                <w:color w:val="auto"/>
                <w:sz w:val="21"/>
                <w:szCs w:val="21"/>
                <w:highlight w:val="none"/>
              </w:rPr>
              <w:t>路面清洗</w:t>
            </w:r>
          </w:p>
        </w:tc>
        <w:tc>
          <w:tcPr>
            <w:tcW w:w="2339" w:type="dxa"/>
            <w:vMerge w:val="restart"/>
            <w:shd w:val="clear" w:color="auto" w:fill="FFFFFF" w:themeFill="background1"/>
            <w:vAlign w:val="center"/>
          </w:tcPr>
          <w:p w14:paraId="18FF9C89">
            <w:pPr>
              <w:widowControl/>
              <w:rPr>
                <w:rFonts w:hAnsi="宋体"/>
                <w:color w:val="auto"/>
                <w:sz w:val="21"/>
                <w:szCs w:val="21"/>
                <w:highlight w:val="none"/>
              </w:rPr>
            </w:pPr>
            <w:r>
              <w:rPr>
                <w:rFonts w:hint="eastAsia" w:hAnsi="宋体"/>
                <w:color w:val="auto"/>
                <w:sz w:val="21"/>
                <w:szCs w:val="21"/>
                <w:highlight w:val="none"/>
              </w:rPr>
              <w:t>1.路面油污清洗（包含清洁剂、木屑等材料）；2.应对交通事故（清理事故碎片、油污、装载物），突发事件处置等；</w:t>
            </w:r>
          </w:p>
        </w:tc>
        <w:tc>
          <w:tcPr>
            <w:tcW w:w="921" w:type="dxa"/>
            <w:shd w:val="clear" w:color="auto" w:fill="FFFFFF" w:themeFill="background1"/>
            <w:vAlign w:val="center"/>
          </w:tcPr>
          <w:p w14:paraId="0BB5B684">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799909BB">
            <w:pPr>
              <w:widowControl/>
              <w:rPr>
                <w:rFonts w:hAnsi="宋体"/>
                <w:color w:val="auto"/>
                <w:sz w:val="21"/>
                <w:szCs w:val="21"/>
                <w:highlight w:val="none"/>
              </w:rPr>
            </w:pPr>
          </w:p>
        </w:tc>
        <w:tc>
          <w:tcPr>
            <w:tcW w:w="650" w:type="dxa"/>
            <w:vMerge w:val="restart"/>
            <w:shd w:val="clear" w:color="auto" w:fill="FFFFFF" w:themeFill="background1"/>
            <w:vAlign w:val="center"/>
          </w:tcPr>
          <w:p w14:paraId="060C4B30">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CCA59C8">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09DBB982">
            <w:pPr>
              <w:widowControl/>
              <w:jc w:val="center"/>
              <w:rPr>
                <w:rFonts w:hAnsi="宋体"/>
                <w:color w:val="auto"/>
                <w:sz w:val="21"/>
                <w:szCs w:val="21"/>
                <w:highlight w:val="none"/>
              </w:rPr>
            </w:pPr>
            <w:r>
              <w:rPr>
                <w:rFonts w:hint="eastAsia" w:hAnsi="宋体"/>
                <w:color w:val="auto"/>
                <w:sz w:val="21"/>
                <w:szCs w:val="21"/>
                <w:highlight w:val="none"/>
              </w:rPr>
              <w:t>全年清洗面积不少于2000㎡</w:t>
            </w:r>
          </w:p>
        </w:tc>
      </w:tr>
      <w:tr w14:paraId="1F53BA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699" w:type="dxa"/>
            <w:vMerge w:val="continue"/>
            <w:shd w:val="clear" w:color="auto" w:fill="FFFFFF" w:themeFill="background1"/>
            <w:vAlign w:val="center"/>
          </w:tcPr>
          <w:p w14:paraId="7B3B4C5E">
            <w:pPr>
              <w:widowControl/>
              <w:rPr>
                <w:rFonts w:hAnsi="宋体"/>
                <w:color w:val="auto"/>
                <w:sz w:val="21"/>
                <w:szCs w:val="21"/>
                <w:highlight w:val="none"/>
              </w:rPr>
            </w:pPr>
          </w:p>
        </w:tc>
        <w:tc>
          <w:tcPr>
            <w:tcW w:w="1098" w:type="dxa"/>
            <w:vMerge w:val="continue"/>
            <w:shd w:val="clear" w:color="auto" w:fill="FFFFFF" w:themeFill="background1"/>
            <w:vAlign w:val="center"/>
          </w:tcPr>
          <w:p w14:paraId="663F40A4">
            <w:pPr>
              <w:widowControl/>
              <w:rPr>
                <w:rFonts w:hAnsi="宋体"/>
                <w:color w:val="auto"/>
                <w:sz w:val="21"/>
                <w:szCs w:val="21"/>
                <w:highlight w:val="none"/>
              </w:rPr>
            </w:pPr>
          </w:p>
        </w:tc>
        <w:tc>
          <w:tcPr>
            <w:tcW w:w="2339" w:type="dxa"/>
            <w:vMerge w:val="continue"/>
            <w:shd w:val="clear" w:color="auto" w:fill="FFFFFF" w:themeFill="background1"/>
            <w:vAlign w:val="center"/>
          </w:tcPr>
          <w:p w14:paraId="1AAA23B5">
            <w:pPr>
              <w:widowControl/>
              <w:rPr>
                <w:rFonts w:hAnsi="宋体"/>
                <w:color w:val="auto"/>
                <w:sz w:val="21"/>
                <w:szCs w:val="21"/>
                <w:highlight w:val="none"/>
              </w:rPr>
            </w:pPr>
          </w:p>
        </w:tc>
        <w:tc>
          <w:tcPr>
            <w:tcW w:w="921" w:type="dxa"/>
            <w:shd w:val="clear" w:color="auto" w:fill="FFFFFF" w:themeFill="background1"/>
            <w:vAlign w:val="center"/>
          </w:tcPr>
          <w:p w14:paraId="15B005EF">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93E3ACC">
            <w:pPr>
              <w:widowControl/>
              <w:rPr>
                <w:rFonts w:hAnsi="宋体"/>
                <w:color w:val="auto"/>
                <w:sz w:val="21"/>
                <w:szCs w:val="21"/>
                <w:highlight w:val="none"/>
              </w:rPr>
            </w:pPr>
          </w:p>
        </w:tc>
        <w:tc>
          <w:tcPr>
            <w:tcW w:w="650" w:type="dxa"/>
            <w:vMerge w:val="continue"/>
            <w:shd w:val="clear" w:color="auto" w:fill="FFFFFF" w:themeFill="background1"/>
            <w:vAlign w:val="center"/>
          </w:tcPr>
          <w:p w14:paraId="7D460426">
            <w:pPr>
              <w:widowControl/>
              <w:rPr>
                <w:rFonts w:hAnsi="宋体"/>
                <w:color w:val="auto"/>
                <w:sz w:val="21"/>
                <w:szCs w:val="21"/>
                <w:highlight w:val="none"/>
              </w:rPr>
            </w:pPr>
          </w:p>
        </w:tc>
        <w:tc>
          <w:tcPr>
            <w:tcW w:w="709" w:type="dxa"/>
            <w:shd w:val="clear" w:color="auto" w:fill="FFFFFF" w:themeFill="background1"/>
            <w:vAlign w:val="center"/>
          </w:tcPr>
          <w:p w14:paraId="39E1E0C4">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7B68A2AD">
            <w:pPr>
              <w:widowControl/>
              <w:jc w:val="center"/>
              <w:rPr>
                <w:rFonts w:hAnsi="宋体"/>
                <w:color w:val="auto"/>
                <w:sz w:val="21"/>
                <w:szCs w:val="21"/>
                <w:highlight w:val="none"/>
              </w:rPr>
            </w:pPr>
            <w:r>
              <w:rPr>
                <w:rFonts w:hint="eastAsia" w:hAnsi="宋体"/>
                <w:color w:val="auto"/>
                <w:sz w:val="21"/>
                <w:szCs w:val="21"/>
                <w:highlight w:val="none"/>
              </w:rPr>
              <w:t>全年清洗面积不少于1500㎡</w:t>
            </w:r>
          </w:p>
        </w:tc>
      </w:tr>
      <w:tr w14:paraId="2D41D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jc w:val="center"/>
        </w:trPr>
        <w:tc>
          <w:tcPr>
            <w:tcW w:w="699" w:type="dxa"/>
            <w:vMerge w:val="continue"/>
            <w:shd w:val="clear" w:color="auto" w:fill="FFFFFF" w:themeFill="background1"/>
            <w:vAlign w:val="center"/>
          </w:tcPr>
          <w:p w14:paraId="6BF18E64">
            <w:pPr>
              <w:widowControl/>
              <w:rPr>
                <w:rFonts w:hAnsi="宋体"/>
                <w:color w:val="auto"/>
                <w:sz w:val="21"/>
                <w:szCs w:val="21"/>
                <w:highlight w:val="none"/>
              </w:rPr>
            </w:pPr>
          </w:p>
        </w:tc>
        <w:tc>
          <w:tcPr>
            <w:tcW w:w="1098" w:type="dxa"/>
            <w:vMerge w:val="restart"/>
            <w:shd w:val="clear" w:color="auto" w:fill="FFFFFF" w:themeFill="background1"/>
            <w:vAlign w:val="center"/>
          </w:tcPr>
          <w:p w14:paraId="4AEBF582">
            <w:pPr>
              <w:widowControl/>
              <w:jc w:val="center"/>
              <w:rPr>
                <w:rFonts w:hAnsi="宋体"/>
                <w:color w:val="auto"/>
                <w:sz w:val="21"/>
                <w:szCs w:val="21"/>
                <w:highlight w:val="none"/>
              </w:rPr>
            </w:pPr>
            <w:r>
              <w:rPr>
                <w:rFonts w:hint="eastAsia" w:hAnsi="宋体"/>
                <w:color w:val="auto"/>
                <w:sz w:val="21"/>
                <w:szCs w:val="21"/>
                <w:highlight w:val="none"/>
              </w:rPr>
              <w:t>路面积水处理</w:t>
            </w:r>
          </w:p>
        </w:tc>
        <w:tc>
          <w:tcPr>
            <w:tcW w:w="2339" w:type="dxa"/>
            <w:vMerge w:val="restart"/>
            <w:shd w:val="clear" w:color="auto" w:fill="FFFFFF" w:themeFill="background1"/>
            <w:vAlign w:val="center"/>
          </w:tcPr>
          <w:p w14:paraId="09ED0AE0">
            <w:pPr>
              <w:widowControl/>
              <w:rPr>
                <w:rFonts w:hAnsi="宋体"/>
                <w:color w:val="auto"/>
                <w:sz w:val="21"/>
                <w:szCs w:val="21"/>
                <w:highlight w:val="none"/>
              </w:rPr>
            </w:pPr>
            <w:r>
              <w:rPr>
                <w:rFonts w:hint="eastAsia" w:hAnsi="宋体"/>
                <w:color w:val="auto"/>
                <w:sz w:val="21"/>
                <w:szCs w:val="21"/>
                <w:highlight w:val="none"/>
              </w:rPr>
              <w:t>1.路面（包括且不限于窨井、泄水槽、泄水孔等）排水疏通;2.路面积水排除。</w:t>
            </w:r>
          </w:p>
        </w:tc>
        <w:tc>
          <w:tcPr>
            <w:tcW w:w="921" w:type="dxa"/>
            <w:shd w:val="clear" w:color="auto" w:fill="FFFFFF" w:themeFill="background1"/>
            <w:vAlign w:val="center"/>
          </w:tcPr>
          <w:p w14:paraId="4BE87D26">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7B18417">
            <w:pPr>
              <w:widowControl/>
              <w:rPr>
                <w:rFonts w:hAnsi="宋体"/>
                <w:color w:val="auto"/>
                <w:sz w:val="21"/>
                <w:szCs w:val="21"/>
                <w:highlight w:val="none"/>
              </w:rPr>
            </w:pPr>
          </w:p>
        </w:tc>
        <w:tc>
          <w:tcPr>
            <w:tcW w:w="650" w:type="dxa"/>
            <w:vMerge w:val="restart"/>
            <w:shd w:val="clear" w:color="auto" w:fill="FFFFFF" w:themeFill="background1"/>
            <w:vAlign w:val="center"/>
          </w:tcPr>
          <w:p w14:paraId="4407B16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A569D8E">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2EBEC014">
            <w:pPr>
              <w:widowControl/>
              <w:jc w:val="center"/>
              <w:rPr>
                <w:rFonts w:hAnsi="宋体"/>
                <w:color w:val="auto"/>
                <w:sz w:val="21"/>
                <w:szCs w:val="21"/>
                <w:highlight w:val="none"/>
              </w:rPr>
            </w:pPr>
            <w:r>
              <w:rPr>
                <w:rFonts w:hint="eastAsia" w:hAnsi="宋体"/>
                <w:color w:val="auto"/>
                <w:sz w:val="21"/>
                <w:szCs w:val="21"/>
                <w:highlight w:val="none"/>
              </w:rPr>
              <w:t>全年路段积水处理</w:t>
            </w:r>
          </w:p>
        </w:tc>
      </w:tr>
      <w:tr w14:paraId="535D7A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4323B98A">
            <w:pPr>
              <w:widowControl/>
              <w:rPr>
                <w:rFonts w:hAnsi="宋体"/>
                <w:color w:val="auto"/>
                <w:sz w:val="21"/>
                <w:szCs w:val="21"/>
                <w:highlight w:val="none"/>
              </w:rPr>
            </w:pPr>
          </w:p>
        </w:tc>
        <w:tc>
          <w:tcPr>
            <w:tcW w:w="1098" w:type="dxa"/>
            <w:vMerge w:val="continue"/>
            <w:shd w:val="clear" w:color="auto" w:fill="FFFFFF" w:themeFill="background1"/>
            <w:vAlign w:val="center"/>
          </w:tcPr>
          <w:p w14:paraId="3586C49D">
            <w:pPr>
              <w:widowControl/>
              <w:rPr>
                <w:rFonts w:hAnsi="宋体"/>
                <w:color w:val="auto"/>
                <w:sz w:val="21"/>
                <w:szCs w:val="21"/>
                <w:highlight w:val="none"/>
              </w:rPr>
            </w:pPr>
          </w:p>
        </w:tc>
        <w:tc>
          <w:tcPr>
            <w:tcW w:w="2339" w:type="dxa"/>
            <w:vMerge w:val="continue"/>
            <w:shd w:val="clear" w:color="auto" w:fill="FFFFFF" w:themeFill="background1"/>
            <w:vAlign w:val="center"/>
          </w:tcPr>
          <w:p w14:paraId="5D11C3B7">
            <w:pPr>
              <w:widowControl/>
              <w:rPr>
                <w:rFonts w:hAnsi="宋体"/>
                <w:color w:val="auto"/>
                <w:sz w:val="21"/>
                <w:szCs w:val="21"/>
                <w:highlight w:val="none"/>
              </w:rPr>
            </w:pPr>
          </w:p>
        </w:tc>
        <w:tc>
          <w:tcPr>
            <w:tcW w:w="921" w:type="dxa"/>
            <w:shd w:val="clear" w:color="auto" w:fill="FFFFFF" w:themeFill="background1"/>
            <w:vAlign w:val="center"/>
          </w:tcPr>
          <w:p w14:paraId="7AF7984C">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3AED6E77">
            <w:pPr>
              <w:widowControl/>
              <w:rPr>
                <w:rFonts w:hAnsi="宋体"/>
                <w:color w:val="auto"/>
                <w:sz w:val="21"/>
                <w:szCs w:val="21"/>
                <w:highlight w:val="none"/>
              </w:rPr>
            </w:pPr>
          </w:p>
        </w:tc>
        <w:tc>
          <w:tcPr>
            <w:tcW w:w="650" w:type="dxa"/>
            <w:vMerge w:val="continue"/>
            <w:shd w:val="clear" w:color="auto" w:fill="FFFFFF" w:themeFill="background1"/>
            <w:vAlign w:val="center"/>
          </w:tcPr>
          <w:p w14:paraId="4F28DD51">
            <w:pPr>
              <w:widowControl/>
              <w:rPr>
                <w:rFonts w:hAnsi="宋体"/>
                <w:color w:val="auto"/>
                <w:sz w:val="21"/>
                <w:szCs w:val="21"/>
                <w:highlight w:val="none"/>
              </w:rPr>
            </w:pPr>
          </w:p>
        </w:tc>
        <w:tc>
          <w:tcPr>
            <w:tcW w:w="709" w:type="dxa"/>
            <w:shd w:val="clear" w:color="auto" w:fill="FFFFFF" w:themeFill="background1"/>
            <w:vAlign w:val="center"/>
          </w:tcPr>
          <w:p w14:paraId="53088EAC">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5A78A1E8">
            <w:pPr>
              <w:widowControl/>
              <w:jc w:val="center"/>
              <w:rPr>
                <w:rFonts w:hAnsi="宋体"/>
                <w:color w:val="auto"/>
                <w:sz w:val="21"/>
                <w:szCs w:val="21"/>
                <w:highlight w:val="none"/>
              </w:rPr>
            </w:pPr>
            <w:r>
              <w:rPr>
                <w:rFonts w:hint="eastAsia" w:hAnsi="宋体"/>
                <w:color w:val="auto"/>
                <w:sz w:val="21"/>
                <w:szCs w:val="21"/>
                <w:highlight w:val="none"/>
              </w:rPr>
              <w:t>全年路段积水处理</w:t>
            </w:r>
          </w:p>
        </w:tc>
      </w:tr>
      <w:tr w14:paraId="1631D3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7" w:hRule="atLeast"/>
          <w:jc w:val="center"/>
        </w:trPr>
        <w:tc>
          <w:tcPr>
            <w:tcW w:w="699" w:type="dxa"/>
            <w:vMerge w:val="continue"/>
            <w:shd w:val="clear" w:color="auto" w:fill="FFFFFF" w:themeFill="background1"/>
            <w:vAlign w:val="center"/>
          </w:tcPr>
          <w:p w14:paraId="3AAF557B">
            <w:pPr>
              <w:widowControl/>
              <w:rPr>
                <w:rFonts w:hAnsi="宋体"/>
                <w:color w:val="auto"/>
                <w:sz w:val="21"/>
                <w:szCs w:val="21"/>
                <w:highlight w:val="none"/>
              </w:rPr>
            </w:pPr>
          </w:p>
        </w:tc>
        <w:tc>
          <w:tcPr>
            <w:tcW w:w="1098" w:type="dxa"/>
            <w:vMerge w:val="restart"/>
            <w:shd w:val="clear" w:color="auto" w:fill="FFFFFF" w:themeFill="background1"/>
            <w:vAlign w:val="center"/>
          </w:tcPr>
          <w:p w14:paraId="44C534E0">
            <w:pPr>
              <w:widowControl/>
              <w:jc w:val="center"/>
              <w:rPr>
                <w:rFonts w:hAnsi="宋体"/>
                <w:color w:val="auto"/>
                <w:sz w:val="21"/>
                <w:szCs w:val="21"/>
                <w:highlight w:val="none"/>
              </w:rPr>
            </w:pPr>
            <w:r>
              <w:rPr>
                <w:rFonts w:hint="eastAsia" w:hAnsi="宋体"/>
                <w:color w:val="auto"/>
                <w:sz w:val="21"/>
                <w:szCs w:val="21"/>
                <w:highlight w:val="none"/>
              </w:rPr>
              <w:t>结构物附着物清理</w:t>
            </w:r>
          </w:p>
        </w:tc>
        <w:tc>
          <w:tcPr>
            <w:tcW w:w="2339" w:type="dxa"/>
            <w:vMerge w:val="restart"/>
            <w:shd w:val="clear" w:color="auto" w:fill="FFFFFF" w:themeFill="background1"/>
            <w:vAlign w:val="center"/>
          </w:tcPr>
          <w:p w14:paraId="42055F30">
            <w:pPr>
              <w:widowControl/>
              <w:rPr>
                <w:rFonts w:hAnsi="宋体"/>
                <w:color w:val="auto"/>
                <w:sz w:val="21"/>
                <w:szCs w:val="21"/>
                <w:highlight w:val="none"/>
              </w:rPr>
            </w:pPr>
            <w:r>
              <w:rPr>
                <w:rFonts w:hint="eastAsia" w:hAnsi="宋体"/>
                <w:color w:val="auto"/>
                <w:sz w:val="21"/>
                <w:szCs w:val="21"/>
                <w:highlight w:val="none"/>
              </w:rPr>
              <w:t>1.附着物清理（含小广告清理）;2.废料装卸、运输、定点堆放；3.包含里程碑、警示桩、百米桩、安全设施反光膜清理</w:t>
            </w:r>
          </w:p>
        </w:tc>
        <w:tc>
          <w:tcPr>
            <w:tcW w:w="921" w:type="dxa"/>
            <w:shd w:val="clear" w:color="auto" w:fill="FFFFFF" w:themeFill="background1"/>
            <w:vAlign w:val="center"/>
          </w:tcPr>
          <w:p w14:paraId="7A315770">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7D7BCFBF">
            <w:pPr>
              <w:widowControl/>
              <w:rPr>
                <w:rFonts w:hAnsi="宋体"/>
                <w:color w:val="auto"/>
                <w:sz w:val="21"/>
                <w:szCs w:val="21"/>
                <w:highlight w:val="none"/>
              </w:rPr>
            </w:pPr>
          </w:p>
        </w:tc>
        <w:tc>
          <w:tcPr>
            <w:tcW w:w="650" w:type="dxa"/>
            <w:vMerge w:val="restart"/>
            <w:shd w:val="clear" w:color="auto" w:fill="FFFFFF" w:themeFill="background1"/>
            <w:vAlign w:val="center"/>
          </w:tcPr>
          <w:p w14:paraId="783CE4B0">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036E594">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7E30E0E">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29E42D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3AE8A824">
            <w:pPr>
              <w:widowControl/>
              <w:rPr>
                <w:rFonts w:hAnsi="宋体"/>
                <w:color w:val="auto"/>
                <w:sz w:val="21"/>
                <w:szCs w:val="21"/>
                <w:highlight w:val="none"/>
              </w:rPr>
            </w:pPr>
          </w:p>
        </w:tc>
        <w:tc>
          <w:tcPr>
            <w:tcW w:w="1098" w:type="dxa"/>
            <w:vMerge w:val="continue"/>
            <w:shd w:val="clear" w:color="auto" w:fill="FFFFFF" w:themeFill="background1"/>
            <w:vAlign w:val="center"/>
          </w:tcPr>
          <w:p w14:paraId="70F13F43">
            <w:pPr>
              <w:widowControl/>
              <w:rPr>
                <w:rFonts w:hAnsi="宋体"/>
                <w:color w:val="auto"/>
                <w:sz w:val="21"/>
                <w:szCs w:val="21"/>
                <w:highlight w:val="none"/>
              </w:rPr>
            </w:pPr>
          </w:p>
        </w:tc>
        <w:tc>
          <w:tcPr>
            <w:tcW w:w="2339" w:type="dxa"/>
            <w:vMerge w:val="continue"/>
            <w:shd w:val="clear" w:color="auto" w:fill="FFFFFF" w:themeFill="background1"/>
            <w:vAlign w:val="center"/>
          </w:tcPr>
          <w:p w14:paraId="64D34E88">
            <w:pPr>
              <w:widowControl/>
              <w:rPr>
                <w:rFonts w:hAnsi="宋体"/>
                <w:color w:val="auto"/>
                <w:sz w:val="21"/>
                <w:szCs w:val="21"/>
                <w:highlight w:val="none"/>
              </w:rPr>
            </w:pPr>
          </w:p>
        </w:tc>
        <w:tc>
          <w:tcPr>
            <w:tcW w:w="921" w:type="dxa"/>
            <w:shd w:val="clear" w:color="auto" w:fill="FFFFFF" w:themeFill="background1"/>
            <w:vAlign w:val="center"/>
          </w:tcPr>
          <w:p w14:paraId="68662CE1">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177DCFFE">
            <w:pPr>
              <w:widowControl/>
              <w:rPr>
                <w:rFonts w:hAnsi="宋体"/>
                <w:color w:val="auto"/>
                <w:sz w:val="21"/>
                <w:szCs w:val="21"/>
                <w:highlight w:val="none"/>
              </w:rPr>
            </w:pPr>
          </w:p>
        </w:tc>
        <w:tc>
          <w:tcPr>
            <w:tcW w:w="650" w:type="dxa"/>
            <w:vMerge w:val="continue"/>
            <w:shd w:val="clear" w:color="auto" w:fill="FFFFFF" w:themeFill="background1"/>
            <w:vAlign w:val="center"/>
          </w:tcPr>
          <w:p w14:paraId="45CF9730">
            <w:pPr>
              <w:widowControl/>
              <w:rPr>
                <w:rFonts w:hAnsi="宋体"/>
                <w:color w:val="auto"/>
                <w:sz w:val="21"/>
                <w:szCs w:val="21"/>
                <w:highlight w:val="none"/>
              </w:rPr>
            </w:pPr>
          </w:p>
        </w:tc>
        <w:tc>
          <w:tcPr>
            <w:tcW w:w="709" w:type="dxa"/>
            <w:shd w:val="clear" w:color="auto" w:fill="FFFFFF" w:themeFill="background1"/>
            <w:vAlign w:val="center"/>
          </w:tcPr>
          <w:p w14:paraId="6676B22A">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F48F86D">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3BE529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12" w:hRule="atLeast"/>
          <w:jc w:val="center"/>
        </w:trPr>
        <w:tc>
          <w:tcPr>
            <w:tcW w:w="699" w:type="dxa"/>
            <w:vMerge w:val="continue"/>
            <w:shd w:val="clear" w:color="auto" w:fill="FFFFFF" w:themeFill="background1"/>
            <w:vAlign w:val="center"/>
          </w:tcPr>
          <w:p w14:paraId="7160CFEF">
            <w:pPr>
              <w:widowControl/>
              <w:rPr>
                <w:rFonts w:hAnsi="宋体"/>
                <w:color w:val="auto"/>
                <w:sz w:val="21"/>
                <w:szCs w:val="21"/>
                <w:highlight w:val="none"/>
              </w:rPr>
            </w:pPr>
          </w:p>
        </w:tc>
        <w:tc>
          <w:tcPr>
            <w:tcW w:w="1098" w:type="dxa"/>
            <w:vMerge w:val="restart"/>
            <w:shd w:val="clear" w:color="auto" w:fill="FFFFFF" w:themeFill="background1"/>
            <w:vAlign w:val="center"/>
          </w:tcPr>
          <w:p w14:paraId="3C4C8FF6">
            <w:pPr>
              <w:widowControl/>
              <w:jc w:val="center"/>
              <w:rPr>
                <w:rFonts w:hAnsi="宋体"/>
                <w:color w:val="auto"/>
                <w:sz w:val="21"/>
                <w:szCs w:val="21"/>
                <w:highlight w:val="none"/>
              </w:rPr>
            </w:pPr>
            <w:r>
              <w:rPr>
                <w:rFonts w:hint="eastAsia" w:hAnsi="宋体"/>
                <w:color w:val="auto"/>
                <w:sz w:val="21"/>
                <w:szCs w:val="21"/>
                <w:highlight w:val="none"/>
              </w:rPr>
              <w:t>桥梁排水系统疏通</w:t>
            </w:r>
          </w:p>
        </w:tc>
        <w:tc>
          <w:tcPr>
            <w:tcW w:w="2339" w:type="dxa"/>
            <w:vMerge w:val="restart"/>
            <w:shd w:val="clear" w:color="auto" w:fill="FFFFFF" w:themeFill="background1"/>
            <w:vAlign w:val="center"/>
          </w:tcPr>
          <w:p w14:paraId="28FEC950">
            <w:pPr>
              <w:widowControl/>
              <w:rPr>
                <w:rFonts w:hAnsi="宋体"/>
                <w:color w:val="auto"/>
                <w:sz w:val="21"/>
                <w:szCs w:val="21"/>
                <w:highlight w:val="none"/>
              </w:rPr>
            </w:pPr>
            <w:r>
              <w:rPr>
                <w:rFonts w:hint="eastAsia" w:hAnsi="宋体"/>
                <w:color w:val="auto"/>
                <w:sz w:val="21"/>
                <w:szCs w:val="21"/>
                <w:highlight w:val="none"/>
              </w:rPr>
              <w:t>1.垃圾、杂物、淤积物等清理;2.疏通;3.废料装卸、运输、定点堆放；4.确保桥梁排水通畅</w:t>
            </w:r>
          </w:p>
        </w:tc>
        <w:tc>
          <w:tcPr>
            <w:tcW w:w="921" w:type="dxa"/>
            <w:shd w:val="clear" w:color="auto" w:fill="FFFFFF" w:themeFill="background1"/>
            <w:vAlign w:val="center"/>
          </w:tcPr>
          <w:p w14:paraId="10A7E128">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5D7217B6">
            <w:pPr>
              <w:widowControl/>
              <w:rPr>
                <w:rFonts w:hAnsi="宋体"/>
                <w:color w:val="auto"/>
                <w:sz w:val="21"/>
                <w:szCs w:val="21"/>
                <w:highlight w:val="none"/>
              </w:rPr>
            </w:pPr>
          </w:p>
        </w:tc>
        <w:tc>
          <w:tcPr>
            <w:tcW w:w="650" w:type="dxa"/>
            <w:vMerge w:val="restart"/>
            <w:shd w:val="clear" w:color="auto" w:fill="FFFFFF" w:themeFill="background1"/>
            <w:vAlign w:val="center"/>
          </w:tcPr>
          <w:p w14:paraId="07C93391">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ECBB3B6">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54DE4CEA">
            <w:pPr>
              <w:widowControl/>
              <w:jc w:val="center"/>
              <w:rPr>
                <w:rFonts w:hAnsi="宋体"/>
                <w:color w:val="auto"/>
                <w:sz w:val="21"/>
                <w:szCs w:val="21"/>
                <w:highlight w:val="none"/>
              </w:rPr>
            </w:pPr>
            <w:r>
              <w:rPr>
                <w:rFonts w:hint="eastAsia" w:hAnsi="宋体"/>
                <w:color w:val="auto"/>
                <w:sz w:val="21"/>
                <w:szCs w:val="21"/>
                <w:highlight w:val="none"/>
              </w:rPr>
              <w:t>桥梁数量：99</w:t>
            </w:r>
          </w:p>
          <w:p w14:paraId="5B0A74C9">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6DACF1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BE7010D">
            <w:pPr>
              <w:widowControl/>
              <w:rPr>
                <w:rFonts w:hAnsi="宋体"/>
                <w:color w:val="auto"/>
                <w:sz w:val="21"/>
                <w:szCs w:val="21"/>
                <w:highlight w:val="none"/>
              </w:rPr>
            </w:pPr>
          </w:p>
        </w:tc>
        <w:tc>
          <w:tcPr>
            <w:tcW w:w="1098" w:type="dxa"/>
            <w:vMerge w:val="continue"/>
            <w:shd w:val="clear" w:color="auto" w:fill="FFFFFF" w:themeFill="background1"/>
            <w:vAlign w:val="center"/>
          </w:tcPr>
          <w:p w14:paraId="0D5358DE">
            <w:pPr>
              <w:widowControl/>
              <w:rPr>
                <w:rFonts w:hAnsi="宋体"/>
                <w:color w:val="auto"/>
                <w:sz w:val="21"/>
                <w:szCs w:val="21"/>
                <w:highlight w:val="none"/>
              </w:rPr>
            </w:pPr>
          </w:p>
        </w:tc>
        <w:tc>
          <w:tcPr>
            <w:tcW w:w="2339" w:type="dxa"/>
            <w:vMerge w:val="continue"/>
            <w:shd w:val="clear" w:color="auto" w:fill="FFFFFF" w:themeFill="background1"/>
            <w:vAlign w:val="center"/>
          </w:tcPr>
          <w:p w14:paraId="607D9D5B">
            <w:pPr>
              <w:widowControl/>
              <w:rPr>
                <w:rFonts w:hAnsi="宋体"/>
                <w:color w:val="auto"/>
                <w:sz w:val="21"/>
                <w:szCs w:val="21"/>
                <w:highlight w:val="none"/>
              </w:rPr>
            </w:pPr>
          </w:p>
        </w:tc>
        <w:tc>
          <w:tcPr>
            <w:tcW w:w="921" w:type="dxa"/>
            <w:shd w:val="clear" w:color="auto" w:fill="FFFFFF" w:themeFill="background1"/>
            <w:vAlign w:val="center"/>
          </w:tcPr>
          <w:p w14:paraId="384817EA">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15E0614C">
            <w:pPr>
              <w:widowControl/>
              <w:rPr>
                <w:rFonts w:hAnsi="宋体"/>
                <w:color w:val="auto"/>
                <w:sz w:val="21"/>
                <w:szCs w:val="21"/>
                <w:highlight w:val="none"/>
              </w:rPr>
            </w:pPr>
          </w:p>
        </w:tc>
        <w:tc>
          <w:tcPr>
            <w:tcW w:w="650" w:type="dxa"/>
            <w:vMerge w:val="continue"/>
            <w:shd w:val="clear" w:color="auto" w:fill="FFFFFF" w:themeFill="background1"/>
            <w:vAlign w:val="center"/>
          </w:tcPr>
          <w:p w14:paraId="3C8822A0">
            <w:pPr>
              <w:widowControl/>
              <w:rPr>
                <w:rFonts w:hAnsi="宋体"/>
                <w:color w:val="auto"/>
                <w:sz w:val="21"/>
                <w:szCs w:val="21"/>
                <w:highlight w:val="none"/>
              </w:rPr>
            </w:pPr>
          </w:p>
        </w:tc>
        <w:tc>
          <w:tcPr>
            <w:tcW w:w="709" w:type="dxa"/>
            <w:shd w:val="clear" w:color="auto" w:fill="FFFFFF" w:themeFill="background1"/>
            <w:vAlign w:val="center"/>
          </w:tcPr>
          <w:p w14:paraId="1716E8BD">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0472B178">
            <w:pPr>
              <w:widowControl/>
              <w:jc w:val="center"/>
              <w:rPr>
                <w:rFonts w:hAnsi="宋体"/>
                <w:color w:val="auto"/>
                <w:sz w:val="21"/>
                <w:szCs w:val="21"/>
                <w:highlight w:val="none"/>
              </w:rPr>
            </w:pPr>
            <w:r>
              <w:rPr>
                <w:rFonts w:hint="eastAsia" w:hAnsi="宋体"/>
                <w:color w:val="auto"/>
                <w:sz w:val="21"/>
                <w:szCs w:val="21"/>
                <w:highlight w:val="none"/>
              </w:rPr>
              <w:t>桥梁数量：144</w:t>
            </w:r>
          </w:p>
          <w:p w14:paraId="66FE93AB">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55EB24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2" w:hRule="atLeast"/>
          <w:jc w:val="center"/>
        </w:trPr>
        <w:tc>
          <w:tcPr>
            <w:tcW w:w="699" w:type="dxa"/>
            <w:vMerge w:val="continue"/>
            <w:shd w:val="clear" w:color="auto" w:fill="FFFFFF" w:themeFill="background1"/>
            <w:vAlign w:val="center"/>
          </w:tcPr>
          <w:p w14:paraId="768263D3">
            <w:pPr>
              <w:widowControl/>
              <w:rPr>
                <w:rFonts w:hAnsi="宋体"/>
                <w:color w:val="auto"/>
                <w:sz w:val="21"/>
                <w:szCs w:val="21"/>
                <w:highlight w:val="none"/>
              </w:rPr>
            </w:pPr>
          </w:p>
        </w:tc>
        <w:tc>
          <w:tcPr>
            <w:tcW w:w="1098" w:type="dxa"/>
            <w:vMerge w:val="restart"/>
            <w:shd w:val="clear" w:color="auto" w:fill="FFFFFF" w:themeFill="background1"/>
            <w:vAlign w:val="center"/>
          </w:tcPr>
          <w:p w14:paraId="42F69CDB">
            <w:pPr>
              <w:widowControl/>
              <w:jc w:val="center"/>
              <w:rPr>
                <w:rFonts w:hAnsi="宋体"/>
                <w:color w:val="auto"/>
                <w:sz w:val="21"/>
                <w:szCs w:val="21"/>
                <w:highlight w:val="none"/>
              </w:rPr>
            </w:pPr>
            <w:r>
              <w:rPr>
                <w:rFonts w:hint="eastAsia" w:hAnsi="宋体"/>
                <w:color w:val="auto"/>
                <w:sz w:val="21"/>
                <w:szCs w:val="21"/>
                <w:highlight w:val="none"/>
              </w:rPr>
              <w:t>桥梁伸缩装置清理</w:t>
            </w:r>
          </w:p>
        </w:tc>
        <w:tc>
          <w:tcPr>
            <w:tcW w:w="2339" w:type="dxa"/>
            <w:vMerge w:val="restart"/>
            <w:shd w:val="clear" w:color="auto" w:fill="FFFFFF" w:themeFill="background1"/>
            <w:vAlign w:val="center"/>
          </w:tcPr>
          <w:p w14:paraId="6F299EF7">
            <w:pPr>
              <w:widowControl/>
              <w:rPr>
                <w:rFonts w:hAnsi="宋体"/>
                <w:color w:val="auto"/>
                <w:sz w:val="21"/>
                <w:szCs w:val="21"/>
                <w:highlight w:val="none"/>
              </w:rPr>
            </w:pPr>
            <w:r>
              <w:rPr>
                <w:rFonts w:hint="eastAsia" w:hAnsi="宋体"/>
                <w:color w:val="auto"/>
                <w:sz w:val="21"/>
                <w:szCs w:val="21"/>
                <w:highlight w:val="none"/>
              </w:rPr>
              <w:t>1.垃圾、杂物、淤积物等清理;2.废料装卸、运输、定点堆放；3.确保伸缩缝不堵塞。4.做好清理台账记录。</w:t>
            </w:r>
          </w:p>
        </w:tc>
        <w:tc>
          <w:tcPr>
            <w:tcW w:w="921" w:type="dxa"/>
            <w:shd w:val="clear" w:color="auto" w:fill="FFFFFF" w:themeFill="background1"/>
            <w:vAlign w:val="center"/>
          </w:tcPr>
          <w:p w14:paraId="610605B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FD6C0CB">
            <w:pPr>
              <w:widowControl/>
              <w:rPr>
                <w:rFonts w:hAnsi="宋体"/>
                <w:color w:val="auto"/>
                <w:sz w:val="21"/>
                <w:szCs w:val="21"/>
                <w:highlight w:val="none"/>
              </w:rPr>
            </w:pPr>
          </w:p>
        </w:tc>
        <w:tc>
          <w:tcPr>
            <w:tcW w:w="650" w:type="dxa"/>
            <w:vMerge w:val="restart"/>
            <w:shd w:val="clear" w:color="auto" w:fill="FFFFFF" w:themeFill="background1"/>
            <w:vAlign w:val="center"/>
          </w:tcPr>
          <w:p w14:paraId="2158B87F">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4BC54C7C">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46BB5C9B">
            <w:pPr>
              <w:widowControl/>
              <w:jc w:val="center"/>
              <w:rPr>
                <w:rFonts w:hAnsi="宋体"/>
                <w:color w:val="auto"/>
                <w:sz w:val="21"/>
                <w:szCs w:val="21"/>
                <w:highlight w:val="none"/>
              </w:rPr>
            </w:pPr>
            <w:r>
              <w:rPr>
                <w:rFonts w:hint="eastAsia" w:hAnsi="宋体"/>
                <w:color w:val="auto"/>
                <w:sz w:val="21"/>
                <w:szCs w:val="21"/>
                <w:highlight w:val="none"/>
              </w:rPr>
              <w:t>桥梁数量：99</w:t>
            </w:r>
          </w:p>
          <w:p w14:paraId="0355762C">
            <w:pPr>
              <w:widowControl/>
              <w:jc w:val="center"/>
              <w:rPr>
                <w:rFonts w:hAnsi="宋体"/>
                <w:color w:val="auto"/>
                <w:sz w:val="21"/>
                <w:szCs w:val="21"/>
                <w:highlight w:val="none"/>
              </w:rPr>
            </w:pPr>
            <w:r>
              <w:rPr>
                <w:rFonts w:hint="eastAsia" w:hAnsi="宋体"/>
                <w:color w:val="auto"/>
                <w:sz w:val="21"/>
                <w:szCs w:val="21"/>
                <w:highlight w:val="none"/>
              </w:rPr>
              <w:t>每季度不少于1次</w:t>
            </w:r>
          </w:p>
        </w:tc>
      </w:tr>
      <w:tr w14:paraId="1D5D1E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034609F">
            <w:pPr>
              <w:widowControl/>
              <w:rPr>
                <w:rFonts w:hAnsi="宋体"/>
                <w:color w:val="auto"/>
                <w:sz w:val="21"/>
                <w:szCs w:val="21"/>
                <w:highlight w:val="none"/>
              </w:rPr>
            </w:pPr>
          </w:p>
        </w:tc>
        <w:tc>
          <w:tcPr>
            <w:tcW w:w="1098" w:type="dxa"/>
            <w:vMerge w:val="continue"/>
            <w:shd w:val="clear" w:color="auto" w:fill="FFFFFF" w:themeFill="background1"/>
            <w:vAlign w:val="center"/>
          </w:tcPr>
          <w:p w14:paraId="38F72B82">
            <w:pPr>
              <w:widowControl/>
              <w:rPr>
                <w:rFonts w:hAnsi="宋体"/>
                <w:color w:val="auto"/>
                <w:sz w:val="21"/>
                <w:szCs w:val="21"/>
                <w:highlight w:val="none"/>
              </w:rPr>
            </w:pPr>
          </w:p>
        </w:tc>
        <w:tc>
          <w:tcPr>
            <w:tcW w:w="2339" w:type="dxa"/>
            <w:vMerge w:val="continue"/>
            <w:shd w:val="clear" w:color="auto" w:fill="FFFFFF" w:themeFill="background1"/>
            <w:vAlign w:val="center"/>
          </w:tcPr>
          <w:p w14:paraId="3F70A391">
            <w:pPr>
              <w:widowControl/>
              <w:rPr>
                <w:rFonts w:hAnsi="宋体"/>
                <w:color w:val="auto"/>
                <w:sz w:val="21"/>
                <w:szCs w:val="21"/>
                <w:highlight w:val="none"/>
              </w:rPr>
            </w:pPr>
          </w:p>
        </w:tc>
        <w:tc>
          <w:tcPr>
            <w:tcW w:w="921" w:type="dxa"/>
            <w:shd w:val="clear" w:color="auto" w:fill="FFFFFF" w:themeFill="background1"/>
            <w:vAlign w:val="center"/>
          </w:tcPr>
          <w:p w14:paraId="1BC5E9E3">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54550971">
            <w:pPr>
              <w:widowControl/>
              <w:rPr>
                <w:rFonts w:hAnsi="宋体"/>
                <w:color w:val="auto"/>
                <w:sz w:val="21"/>
                <w:szCs w:val="21"/>
                <w:highlight w:val="none"/>
              </w:rPr>
            </w:pPr>
          </w:p>
        </w:tc>
        <w:tc>
          <w:tcPr>
            <w:tcW w:w="650" w:type="dxa"/>
            <w:vMerge w:val="continue"/>
            <w:shd w:val="clear" w:color="auto" w:fill="FFFFFF" w:themeFill="background1"/>
            <w:vAlign w:val="center"/>
          </w:tcPr>
          <w:p w14:paraId="214C2000">
            <w:pPr>
              <w:widowControl/>
              <w:rPr>
                <w:rFonts w:hAnsi="宋体"/>
                <w:color w:val="auto"/>
                <w:sz w:val="21"/>
                <w:szCs w:val="21"/>
                <w:highlight w:val="none"/>
              </w:rPr>
            </w:pPr>
          </w:p>
        </w:tc>
        <w:tc>
          <w:tcPr>
            <w:tcW w:w="709" w:type="dxa"/>
            <w:shd w:val="clear" w:color="auto" w:fill="FFFFFF" w:themeFill="background1"/>
            <w:vAlign w:val="center"/>
          </w:tcPr>
          <w:p w14:paraId="297BD7E2">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603B0FF">
            <w:pPr>
              <w:widowControl/>
              <w:jc w:val="center"/>
              <w:rPr>
                <w:rFonts w:hAnsi="宋体"/>
                <w:color w:val="auto"/>
                <w:sz w:val="21"/>
                <w:szCs w:val="21"/>
                <w:highlight w:val="none"/>
              </w:rPr>
            </w:pPr>
            <w:r>
              <w:rPr>
                <w:rFonts w:hint="eastAsia" w:hAnsi="宋体"/>
                <w:color w:val="auto"/>
                <w:sz w:val="21"/>
                <w:szCs w:val="21"/>
                <w:highlight w:val="none"/>
              </w:rPr>
              <w:t>桥梁数量：144</w:t>
            </w:r>
          </w:p>
          <w:p w14:paraId="4DD431D1">
            <w:pPr>
              <w:widowControl/>
              <w:jc w:val="center"/>
              <w:rPr>
                <w:rFonts w:hAnsi="宋体"/>
                <w:color w:val="auto"/>
                <w:sz w:val="21"/>
                <w:szCs w:val="21"/>
                <w:highlight w:val="none"/>
              </w:rPr>
            </w:pPr>
            <w:r>
              <w:rPr>
                <w:rFonts w:hint="eastAsia" w:hAnsi="宋体"/>
                <w:color w:val="auto"/>
                <w:sz w:val="21"/>
                <w:szCs w:val="21"/>
                <w:highlight w:val="none"/>
              </w:rPr>
              <w:t>每季度不少于1次</w:t>
            </w:r>
          </w:p>
        </w:tc>
      </w:tr>
      <w:tr w14:paraId="05406C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8" w:hRule="atLeast"/>
          <w:jc w:val="center"/>
        </w:trPr>
        <w:tc>
          <w:tcPr>
            <w:tcW w:w="699" w:type="dxa"/>
            <w:vMerge w:val="continue"/>
            <w:shd w:val="clear" w:color="auto" w:fill="FFFFFF" w:themeFill="background1"/>
            <w:vAlign w:val="center"/>
          </w:tcPr>
          <w:p w14:paraId="6991B0CE">
            <w:pPr>
              <w:widowControl/>
              <w:rPr>
                <w:rFonts w:hAnsi="宋体"/>
                <w:color w:val="auto"/>
                <w:sz w:val="21"/>
                <w:szCs w:val="21"/>
                <w:highlight w:val="none"/>
              </w:rPr>
            </w:pPr>
          </w:p>
        </w:tc>
        <w:tc>
          <w:tcPr>
            <w:tcW w:w="1098" w:type="dxa"/>
            <w:vMerge w:val="restart"/>
            <w:shd w:val="clear" w:color="auto" w:fill="FFFFFF" w:themeFill="background1"/>
            <w:vAlign w:val="center"/>
          </w:tcPr>
          <w:p w14:paraId="0142D3D1">
            <w:pPr>
              <w:widowControl/>
              <w:jc w:val="center"/>
              <w:rPr>
                <w:rFonts w:hAnsi="宋体"/>
                <w:color w:val="auto"/>
                <w:sz w:val="21"/>
                <w:szCs w:val="21"/>
                <w:highlight w:val="none"/>
              </w:rPr>
            </w:pPr>
            <w:r>
              <w:rPr>
                <w:rFonts w:hint="eastAsia" w:hAnsi="宋体"/>
                <w:color w:val="auto"/>
                <w:sz w:val="21"/>
                <w:szCs w:val="21"/>
                <w:highlight w:val="none"/>
              </w:rPr>
              <w:t>桥下空间及锥坡清理</w:t>
            </w:r>
          </w:p>
        </w:tc>
        <w:tc>
          <w:tcPr>
            <w:tcW w:w="2339" w:type="dxa"/>
            <w:vMerge w:val="restart"/>
            <w:shd w:val="clear" w:color="auto" w:fill="FFFFFF" w:themeFill="background1"/>
            <w:vAlign w:val="center"/>
          </w:tcPr>
          <w:p w14:paraId="10BB3AE4">
            <w:pPr>
              <w:widowControl/>
              <w:rPr>
                <w:rFonts w:hAnsi="宋体"/>
                <w:color w:val="auto"/>
                <w:sz w:val="15"/>
                <w:szCs w:val="15"/>
                <w:highlight w:val="none"/>
              </w:rPr>
            </w:pPr>
            <w:r>
              <w:rPr>
                <w:rFonts w:hint="eastAsia" w:hAnsi="宋体"/>
                <w:color w:val="auto"/>
                <w:sz w:val="21"/>
                <w:szCs w:val="21"/>
                <w:highlight w:val="none"/>
              </w:rPr>
              <w:t>1.垃圾、杂物、淤积物等清理;2.废料装卸、运输、定点堆放。3.确保整洁、无堆积、无杂物。4.做好清理台账记录。</w:t>
            </w:r>
          </w:p>
        </w:tc>
        <w:tc>
          <w:tcPr>
            <w:tcW w:w="921" w:type="dxa"/>
            <w:shd w:val="clear" w:color="auto" w:fill="FFFFFF" w:themeFill="background1"/>
            <w:vAlign w:val="center"/>
          </w:tcPr>
          <w:p w14:paraId="4CE72EEC">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B9A29A2">
            <w:pPr>
              <w:widowControl/>
              <w:rPr>
                <w:rFonts w:hAnsi="宋体"/>
                <w:color w:val="auto"/>
                <w:sz w:val="21"/>
                <w:szCs w:val="21"/>
                <w:highlight w:val="none"/>
              </w:rPr>
            </w:pPr>
          </w:p>
        </w:tc>
        <w:tc>
          <w:tcPr>
            <w:tcW w:w="650" w:type="dxa"/>
            <w:vMerge w:val="restart"/>
            <w:shd w:val="clear" w:color="auto" w:fill="FFFFFF" w:themeFill="background1"/>
            <w:vAlign w:val="center"/>
          </w:tcPr>
          <w:p w14:paraId="285972F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5F0CD173">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588A0641">
            <w:pPr>
              <w:widowControl/>
              <w:jc w:val="center"/>
              <w:rPr>
                <w:rFonts w:hAnsi="宋体"/>
                <w:color w:val="auto"/>
                <w:sz w:val="21"/>
                <w:szCs w:val="21"/>
                <w:highlight w:val="none"/>
              </w:rPr>
            </w:pPr>
            <w:r>
              <w:rPr>
                <w:rFonts w:hint="eastAsia" w:hAnsi="宋体"/>
                <w:color w:val="auto"/>
                <w:sz w:val="21"/>
                <w:szCs w:val="21"/>
                <w:highlight w:val="none"/>
              </w:rPr>
              <w:t>桥梁数量：99</w:t>
            </w:r>
          </w:p>
        </w:tc>
      </w:tr>
      <w:tr w14:paraId="6337D9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5AC057FD">
            <w:pPr>
              <w:widowControl/>
              <w:rPr>
                <w:rFonts w:hAnsi="宋体"/>
                <w:color w:val="auto"/>
                <w:sz w:val="21"/>
                <w:szCs w:val="21"/>
                <w:highlight w:val="none"/>
              </w:rPr>
            </w:pPr>
          </w:p>
        </w:tc>
        <w:tc>
          <w:tcPr>
            <w:tcW w:w="1098" w:type="dxa"/>
            <w:vMerge w:val="continue"/>
            <w:shd w:val="clear" w:color="auto" w:fill="FFFFFF" w:themeFill="background1"/>
            <w:vAlign w:val="center"/>
          </w:tcPr>
          <w:p w14:paraId="7B1BC186">
            <w:pPr>
              <w:widowControl/>
              <w:rPr>
                <w:rFonts w:hAnsi="宋体"/>
                <w:color w:val="auto"/>
                <w:sz w:val="21"/>
                <w:szCs w:val="21"/>
                <w:highlight w:val="none"/>
              </w:rPr>
            </w:pPr>
          </w:p>
        </w:tc>
        <w:tc>
          <w:tcPr>
            <w:tcW w:w="2339" w:type="dxa"/>
            <w:vMerge w:val="continue"/>
            <w:shd w:val="clear" w:color="auto" w:fill="FFFFFF" w:themeFill="background1"/>
            <w:vAlign w:val="center"/>
          </w:tcPr>
          <w:p w14:paraId="04C0786F">
            <w:pPr>
              <w:widowControl/>
              <w:rPr>
                <w:rFonts w:hAnsi="宋体"/>
                <w:color w:val="auto"/>
                <w:sz w:val="21"/>
                <w:szCs w:val="21"/>
                <w:highlight w:val="none"/>
              </w:rPr>
            </w:pPr>
          </w:p>
        </w:tc>
        <w:tc>
          <w:tcPr>
            <w:tcW w:w="921" w:type="dxa"/>
            <w:shd w:val="clear" w:color="auto" w:fill="FFFFFF" w:themeFill="background1"/>
            <w:vAlign w:val="center"/>
          </w:tcPr>
          <w:p w14:paraId="7B100454">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56AEFBD2">
            <w:pPr>
              <w:widowControl/>
              <w:rPr>
                <w:rFonts w:hAnsi="宋体"/>
                <w:color w:val="auto"/>
                <w:sz w:val="21"/>
                <w:szCs w:val="21"/>
                <w:highlight w:val="none"/>
              </w:rPr>
            </w:pPr>
          </w:p>
        </w:tc>
        <w:tc>
          <w:tcPr>
            <w:tcW w:w="650" w:type="dxa"/>
            <w:vMerge w:val="continue"/>
            <w:shd w:val="clear" w:color="auto" w:fill="FFFFFF" w:themeFill="background1"/>
            <w:vAlign w:val="center"/>
          </w:tcPr>
          <w:p w14:paraId="5A0BFBEB">
            <w:pPr>
              <w:widowControl/>
              <w:rPr>
                <w:rFonts w:hAnsi="宋体"/>
                <w:color w:val="auto"/>
                <w:sz w:val="21"/>
                <w:szCs w:val="21"/>
                <w:highlight w:val="none"/>
              </w:rPr>
            </w:pPr>
          </w:p>
        </w:tc>
        <w:tc>
          <w:tcPr>
            <w:tcW w:w="709" w:type="dxa"/>
            <w:shd w:val="clear" w:color="auto" w:fill="FFFFFF" w:themeFill="background1"/>
            <w:vAlign w:val="center"/>
          </w:tcPr>
          <w:p w14:paraId="6E2092C9">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48501444">
            <w:pPr>
              <w:widowControl/>
              <w:jc w:val="center"/>
              <w:rPr>
                <w:rFonts w:hAnsi="宋体"/>
                <w:color w:val="auto"/>
                <w:sz w:val="21"/>
                <w:szCs w:val="21"/>
                <w:highlight w:val="none"/>
              </w:rPr>
            </w:pPr>
            <w:r>
              <w:rPr>
                <w:rFonts w:hint="eastAsia" w:hAnsi="宋体"/>
                <w:color w:val="auto"/>
                <w:sz w:val="21"/>
                <w:szCs w:val="21"/>
                <w:highlight w:val="none"/>
              </w:rPr>
              <w:t>桥梁数量：144</w:t>
            </w:r>
          </w:p>
        </w:tc>
      </w:tr>
      <w:tr w14:paraId="33AC45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restart"/>
            <w:shd w:val="clear" w:color="auto" w:fill="FFFFFF" w:themeFill="background1"/>
            <w:noWrap/>
            <w:vAlign w:val="center"/>
          </w:tcPr>
          <w:p w14:paraId="45EC80A4">
            <w:pPr>
              <w:widowControl/>
              <w:jc w:val="center"/>
              <w:rPr>
                <w:rFonts w:hAnsi="宋体"/>
                <w:color w:val="auto"/>
                <w:sz w:val="21"/>
                <w:szCs w:val="21"/>
                <w:highlight w:val="none"/>
              </w:rPr>
            </w:pPr>
            <w:r>
              <w:rPr>
                <w:rFonts w:hint="eastAsia" w:hAnsi="宋体"/>
                <w:color w:val="auto"/>
                <w:sz w:val="21"/>
                <w:szCs w:val="21"/>
                <w:highlight w:val="none"/>
              </w:rPr>
              <w:t>机械清扫</w:t>
            </w:r>
          </w:p>
        </w:tc>
        <w:tc>
          <w:tcPr>
            <w:tcW w:w="1098" w:type="dxa"/>
            <w:vMerge w:val="restart"/>
            <w:shd w:val="clear" w:color="auto" w:fill="FFFFFF" w:themeFill="background1"/>
            <w:vAlign w:val="center"/>
          </w:tcPr>
          <w:p w14:paraId="305617E1">
            <w:pPr>
              <w:widowControl/>
              <w:jc w:val="center"/>
              <w:rPr>
                <w:rFonts w:hAnsi="宋体"/>
                <w:color w:val="auto"/>
                <w:sz w:val="21"/>
                <w:szCs w:val="21"/>
                <w:highlight w:val="none"/>
              </w:rPr>
            </w:pPr>
            <w:r>
              <w:rPr>
                <w:rFonts w:hint="eastAsia" w:hAnsi="宋体"/>
                <w:color w:val="auto"/>
                <w:sz w:val="21"/>
                <w:szCs w:val="21"/>
                <w:highlight w:val="none"/>
              </w:rPr>
              <w:t>机械清扫</w:t>
            </w:r>
          </w:p>
        </w:tc>
        <w:tc>
          <w:tcPr>
            <w:tcW w:w="2339" w:type="dxa"/>
            <w:vMerge w:val="restart"/>
            <w:shd w:val="clear" w:color="auto" w:fill="FFFFFF" w:themeFill="background1"/>
            <w:vAlign w:val="center"/>
          </w:tcPr>
          <w:p w14:paraId="6C1060CA">
            <w:pPr>
              <w:widowControl/>
              <w:rPr>
                <w:rFonts w:hAnsi="宋体"/>
                <w:color w:val="auto"/>
                <w:sz w:val="21"/>
                <w:szCs w:val="21"/>
                <w:highlight w:val="none"/>
              </w:rPr>
            </w:pPr>
            <w:r>
              <w:rPr>
                <w:rFonts w:hint="eastAsia" w:hAnsi="宋体"/>
                <w:color w:val="auto"/>
                <w:sz w:val="21"/>
                <w:szCs w:val="21"/>
                <w:highlight w:val="none"/>
              </w:rPr>
              <w:t>1.机械清扫;2.定点堆放；3、垃圾装卸、运输、处理。</w:t>
            </w:r>
          </w:p>
        </w:tc>
        <w:tc>
          <w:tcPr>
            <w:tcW w:w="921" w:type="dxa"/>
            <w:shd w:val="clear" w:color="auto" w:fill="FFFFFF" w:themeFill="background1"/>
            <w:vAlign w:val="center"/>
          </w:tcPr>
          <w:p w14:paraId="6F974B57">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784D9517">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27F8CD75">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246FE3AF">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70A31942">
            <w:pPr>
              <w:widowControl/>
              <w:jc w:val="center"/>
              <w:rPr>
                <w:rFonts w:hAnsi="宋体"/>
                <w:color w:val="auto"/>
                <w:sz w:val="21"/>
                <w:szCs w:val="21"/>
                <w:highlight w:val="none"/>
              </w:rPr>
            </w:pPr>
            <w:r>
              <w:rPr>
                <w:rFonts w:hint="eastAsia" w:hAnsi="宋体"/>
                <w:color w:val="auto"/>
                <w:sz w:val="21"/>
                <w:szCs w:val="21"/>
                <w:highlight w:val="none"/>
              </w:rPr>
              <w:t>每天清扫里程不少于300km</w:t>
            </w:r>
          </w:p>
        </w:tc>
      </w:tr>
      <w:tr w14:paraId="23ACDF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A427C0F">
            <w:pPr>
              <w:widowControl/>
              <w:rPr>
                <w:rFonts w:hAnsi="宋体"/>
                <w:color w:val="auto"/>
                <w:sz w:val="21"/>
                <w:szCs w:val="21"/>
                <w:highlight w:val="none"/>
              </w:rPr>
            </w:pPr>
          </w:p>
        </w:tc>
        <w:tc>
          <w:tcPr>
            <w:tcW w:w="1098" w:type="dxa"/>
            <w:vMerge w:val="continue"/>
            <w:shd w:val="clear" w:color="auto" w:fill="FFFFFF" w:themeFill="background1"/>
            <w:vAlign w:val="center"/>
          </w:tcPr>
          <w:p w14:paraId="7ECB6CF5">
            <w:pPr>
              <w:widowControl/>
              <w:rPr>
                <w:rFonts w:hAnsi="宋体"/>
                <w:color w:val="auto"/>
                <w:sz w:val="21"/>
                <w:szCs w:val="21"/>
                <w:highlight w:val="none"/>
              </w:rPr>
            </w:pPr>
          </w:p>
        </w:tc>
        <w:tc>
          <w:tcPr>
            <w:tcW w:w="2339" w:type="dxa"/>
            <w:vMerge w:val="continue"/>
            <w:shd w:val="clear" w:color="auto" w:fill="FFFFFF" w:themeFill="background1"/>
            <w:vAlign w:val="center"/>
          </w:tcPr>
          <w:p w14:paraId="78E17B7D">
            <w:pPr>
              <w:widowControl/>
              <w:rPr>
                <w:rFonts w:hAnsi="宋体"/>
                <w:color w:val="auto"/>
                <w:sz w:val="21"/>
                <w:szCs w:val="21"/>
                <w:highlight w:val="none"/>
              </w:rPr>
            </w:pPr>
          </w:p>
        </w:tc>
        <w:tc>
          <w:tcPr>
            <w:tcW w:w="921" w:type="dxa"/>
            <w:shd w:val="clear" w:color="auto" w:fill="FFFFFF" w:themeFill="background1"/>
            <w:vAlign w:val="center"/>
          </w:tcPr>
          <w:p w14:paraId="3887C5B1">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B36B5AB">
            <w:pPr>
              <w:widowControl/>
              <w:rPr>
                <w:rFonts w:hAnsi="宋体"/>
                <w:color w:val="auto"/>
                <w:sz w:val="21"/>
                <w:szCs w:val="21"/>
                <w:highlight w:val="none"/>
              </w:rPr>
            </w:pPr>
          </w:p>
        </w:tc>
        <w:tc>
          <w:tcPr>
            <w:tcW w:w="650" w:type="dxa"/>
            <w:vMerge w:val="continue"/>
            <w:shd w:val="clear" w:color="auto" w:fill="FFFFFF" w:themeFill="background1"/>
            <w:vAlign w:val="center"/>
          </w:tcPr>
          <w:p w14:paraId="703730FF">
            <w:pPr>
              <w:widowControl/>
              <w:rPr>
                <w:rFonts w:hAnsi="宋体"/>
                <w:color w:val="auto"/>
                <w:sz w:val="21"/>
                <w:szCs w:val="21"/>
                <w:highlight w:val="none"/>
              </w:rPr>
            </w:pPr>
          </w:p>
        </w:tc>
        <w:tc>
          <w:tcPr>
            <w:tcW w:w="709" w:type="dxa"/>
            <w:shd w:val="clear" w:color="auto" w:fill="FFFFFF" w:themeFill="background1"/>
            <w:vAlign w:val="center"/>
          </w:tcPr>
          <w:p w14:paraId="4C23639A">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7894A2AB">
            <w:pPr>
              <w:widowControl/>
              <w:jc w:val="center"/>
              <w:rPr>
                <w:rFonts w:hAnsi="宋体"/>
                <w:color w:val="auto"/>
                <w:sz w:val="21"/>
                <w:szCs w:val="21"/>
                <w:highlight w:val="none"/>
              </w:rPr>
            </w:pPr>
            <w:r>
              <w:rPr>
                <w:rFonts w:hint="eastAsia" w:hAnsi="宋体"/>
                <w:color w:val="auto"/>
                <w:sz w:val="21"/>
                <w:szCs w:val="21"/>
                <w:highlight w:val="none"/>
              </w:rPr>
              <w:t>每天清扫里程不少于200km</w:t>
            </w:r>
          </w:p>
        </w:tc>
      </w:tr>
      <w:tr w14:paraId="10B7DA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911F20B">
            <w:pPr>
              <w:widowControl/>
              <w:rPr>
                <w:rFonts w:hAnsi="宋体"/>
                <w:color w:val="auto"/>
                <w:sz w:val="21"/>
                <w:szCs w:val="21"/>
                <w:highlight w:val="none"/>
              </w:rPr>
            </w:pPr>
          </w:p>
        </w:tc>
        <w:tc>
          <w:tcPr>
            <w:tcW w:w="1098" w:type="dxa"/>
            <w:vMerge w:val="restart"/>
            <w:shd w:val="clear" w:color="auto" w:fill="FFFFFF" w:themeFill="background1"/>
            <w:vAlign w:val="center"/>
          </w:tcPr>
          <w:p w14:paraId="00F78CEE">
            <w:pPr>
              <w:widowControl/>
              <w:jc w:val="center"/>
              <w:rPr>
                <w:rFonts w:hAnsi="宋体"/>
                <w:color w:val="auto"/>
                <w:sz w:val="21"/>
                <w:szCs w:val="21"/>
                <w:highlight w:val="none"/>
              </w:rPr>
            </w:pPr>
            <w:r>
              <w:rPr>
                <w:rFonts w:hint="eastAsia" w:hAnsi="宋体"/>
                <w:color w:val="auto"/>
                <w:sz w:val="21"/>
                <w:szCs w:val="21"/>
                <w:highlight w:val="none"/>
              </w:rPr>
              <w:t>护栏清洗</w:t>
            </w:r>
          </w:p>
        </w:tc>
        <w:tc>
          <w:tcPr>
            <w:tcW w:w="2339" w:type="dxa"/>
            <w:vMerge w:val="restart"/>
            <w:shd w:val="clear" w:color="auto" w:fill="FFFFFF" w:themeFill="background1"/>
            <w:vAlign w:val="center"/>
          </w:tcPr>
          <w:p w14:paraId="5100E69A">
            <w:pPr>
              <w:widowControl/>
              <w:rPr>
                <w:rFonts w:hAnsi="宋体"/>
                <w:color w:val="auto"/>
                <w:sz w:val="21"/>
                <w:szCs w:val="21"/>
                <w:highlight w:val="none"/>
              </w:rPr>
            </w:pPr>
            <w:r>
              <w:rPr>
                <w:rFonts w:hint="eastAsia" w:hAnsi="宋体"/>
                <w:color w:val="auto"/>
                <w:sz w:val="21"/>
                <w:szCs w:val="21"/>
                <w:highlight w:val="none"/>
              </w:rPr>
              <w:t>1.使用护栏清洗车进行清理。</w:t>
            </w:r>
          </w:p>
        </w:tc>
        <w:tc>
          <w:tcPr>
            <w:tcW w:w="921" w:type="dxa"/>
            <w:shd w:val="clear" w:color="auto" w:fill="FFFFFF" w:themeFill="background1"/>
            <w:vAlign w:val="center"/>
          </w:tcPr>
          <w:p w14:paraId="7B8FB84E">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DBCCBA0">
            <w:pPr>
              <w:widowControl/>
              <w:rPr>
                <w:rFonts w:hAnsi="宋体"/>
                <w:color w:val="auto"/>
                <w:sz w:val="21"/>
                <w:szCs w:val="21"/>
                <w:highlight w:val="none"/>
              </w:rPr>
            </w:pPr>
          </w:p>
        </w:tc>
        <w:tc>
          <w:tcPr>
            <w:tcW w:w="650" w:type="dxa"/>
            <w:vMerge w:val="restart"/>
            <w:shd w:val="clear" w:color="auto" w:fill="FFFFFF" w:themeFill="background1"/>
            <w:vAlign w:val="center"/>
          </w:tcPr>
          <w:p w14:paraId="0EC0544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33165463">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D436D95">
            <w:pPr>
              <w:widowControl/>
              <w:jc w:val="center"/>
              <w:rPr>
                <w:rFonts w:hAnsi="宋体"/>
                <w:color w:val="auto"/>
                <w:sz w:val="21"/>
                <w:szCs w:val="21"/>
                <w:highlight w:val="none"/>
              </w:rPr>
            </w:pPr>
            <w:r>
              <w:rPr>
                <w:rFonts w:hint="eastAsia" w:hAnsi="宋体"/>
                <w:color w:val="auto"/>
                <w:sz w:val="21"/>
                <w:szCs w:val="21"/>
                <w:highlight w:val="none"/>
              </w:rPr>
              <w:t>按每周4次，每次不少于10km</w:t>
            </w:r>
          </w:p>
        </w:tc>
      </w:tr>
      <w:tr w14:paraId="350948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BE1E9BC">
            <w:pPr>
              <w:widowControl/>
              <w:rPr>
                <w:rFonts w:hAnsi="宋体"/>
                <w:color w:val="auto"/>
                <w:sz w:val="21"/>
                <w:szCs w:val="21"/>
                <w:highlight w:val="none"/>
              </w:rPr>
            </w:pPr>
          </w:p>
        </w:tc>
        <w:tc>
          <w:tcPr>
            <w:tcW w:w="1098" w:type="dxa"/>
            <w:vMerge w:val="continue"/>
            <w:shd w:val="clear" w:color="auto" w:fill="FFFFFF" w:themeFill="background1"/>
            <w:vAlign w:val="center"/>
          </w:tcPr>
          <w:p w14:paraId="006F46FB">
            <w:pPr>
              <w:widowControl/>
              <w:rPr>
                <w:rFonts w:hAnsi="宋体"/>
                <w:color w:val="auto"/>
                <w:sz w:val="21"/>
                <w:szCs w:val="21"/>
                <w:highlight w:val="none"/>
              </w:rPr>
            </w:pPr>
          </w:p>
        </w:tc>
        <w:tc>
          <w:tcPr>
            <w:tcW w:w="2339" w:type="dxa"/>
            <w:vMerge w:val="continue"/>
            <w:shd w:val="clear" w:color="auto" w:fill="FFFFFF" w:themeFill="background1"/>
            <w:vAlign w:val="center"/>
          </w:tcPr>
          <w:p w14:paraId="5EC056F8">
            <w:pPr>
              <w:widowControl/>
              <w:rPr>
                <w:rFonts w:hAnsi="宋体"/>
                <w:color w:val="auto"/>
                <w:sz w:val="21"/>
                <w:szCs w:val="21"/>
                <w:highlight w:val="none"/>
              </w:rPr>
            </w:pPr>
          </w:p>
        </w:tc>
        <w:tc>
          <w:tcPr>
            <w:tcW w:w="921" w:type="dxa"/>
            <w:shd w:val="clear" w:color="auto" w:fill="FFFFFF" w:themeFill="background1"/>
            <w:vAlign w:val="center"/>
          </w:tcPr>
          <w:p w14:paraId="5FF303C8">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73F888D0">
            <w:pPr>
              <w:widowControl/>
              <w:rPr>
                <w:rFonts w:hAnsi="宋体"/>
                <w:color w:val="auto"/>
                <w:sz w:val="21"/>
                <w:szCs w:val="21"/>
                <w:highlight w:val="none"/>
              </w:rPr>
            </w:pPr>
          </w:p>
        </w:tc>
        <w:tc>
          <w:tcPr>
            <w:tcW w:w="650" w:type="dxa"/>
            <w:vMerge w:val="continue"/>
            <w:shd w:val="clear" w:color="auto" w:fill="FFFFFF" w:themeFill="background1"/>
            <w:vAlign w:val="center"/>
          </w:tcPr>
          <w:p w14:paraId="02861576">
            <w:pPr>
              <w:widowControl/>
              <w:rPr>
                <w:rFonts w:hAnsi="宋体"/>
                <w:color w:val="auto"/>
                <w:sz w:val="21"/>
                <w:szCs w:val="21"/>
                <w:highlight w:val="none"/>
              </w:rPr>
            </w:pPr>
          </w:p>
        </w:tc>
        <w:tc>
          <w:tcPr>
            <w:tcW w:w="709" w:type="dxa"/>
            <w:shd w:val="clear" w:color="auto" w:fill="FFFFFF" w:themeFill="background1"/>
            <w:vAlign w:val="center"/>
          </w:tcPr>
          <w:p w14:paraId="6367481C">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13FACD82">
            <w:pPr>
              <w:widowControl/>
              <w:jc w:val="center"/>
              <w:rPr>
                <w:rFonts w:hAnsi="宋体"/>
                <w:color w:val="auto"/>
                <w:sz w:val="21"/>
                <w:szCs w:val="21"/>
                <w:highlight w:val="none"/>
              </w:rPr>
            </w:pPr>
            <w:r>
              <w:rPr>
                <w:rFonts w:hint="eastAsia" w:hAnsi="宋体"/>
                <w:color w:val="auto"/>
                <w:sz w:val="21"/>
                <w:szCs w:val="21"/>
                <w:highlight w:val="none"/>
              </w:rPr>
              <w:t>按每周4次，每次不少于10km</w:t>
            </w:r>
          </w:p>
        </w:tc>
      </w:tr>
      <w:tr w14:paraId="480465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A0F5D5C">
            <w:pPr>
              <w:widowControl/>
              <w:rPr>
                <w:rFonts w:hAnsi="宋体"/>
                <w:color w:val="auto"/>
                <w:sz w:val="21"/>
                <w:szCs w:val="21"/>
                <w:highlight w:val="none"/>
              </w:rPr>
            </w:pPr>
          </w:p>
        </w:tc>
        <w:tc>
          <w:tcPr>
            <w:tcW w:w="1098" w:type="dxa"/>
            <w:vMerge w:val="restart"/>
            <w:shd w:val="clear" w:color="auto" w:fill="FFFFFF" w:themeFill="background1"/>
            <w:vAlign w:val="center"/>
          </w:tcPr>
          <w:p w14:paraId="6CBF5186">
            <w:pPr>
              <w:widowControl/>
              <w:jc w:val="center"/>
              <w:rPr>
                <w:rFonts w:hAnsi="宋体"/>
                <w:color w:val="auto"/>
                <w:sz w:val="21"/>
                <w:szCs w:val="21"/>
                <w:highlight w:val="none"/>
              </w:rPr>
            </w:pPr>
            <w:r>
              <w:rPr>
                <w:rFonts w:hint="eastAsia" w:hAnsi="宋体"/>
                <w:color w:val="auto"/>
                <w:sz w:val="21"/>
                <w:szCs w:val="21"/>
                <w:highlight w:val="none"/>
              </w:rPr>
              <w:t>洒水车洒水降温</w:t>
            </w:r>
          </w:p>
        </w:tc>
        <w:tc>
          <w:tcPr>
            <w:tcW w:w="2339" w:type="dxa"/>
            <w:vMerge w:val="restart"/>
            <w:shd w:val="clear" w:color="auto" w:fill="FFFFFF" w:themeFill="background1"/>
            <w:vAlign w:val="center"/>
          </w:tcPr>
          <w:p w14:paraId="26443594">
            <w:pPr>
              <w:widowControl/>
              <w:rPr>
                <w:rFonts w:hAnsi="宋体"/>
                <w:color w:val="auto"/>
                <w:sz w:val="21"/>
                <w:szCs w:val="21"/>
                <w:highlight w:val="none"/>
              </w:rPr>
            </w:pPr>
            <w:r>
              <w:rPr>
                <w:rFonts w:hint="eastAsia" w:hAnsi="宋体"/>
                <w:color w:val="auto"/>
                <w:sz w:val="21"/>
                <w:szCs w:val="21"/>
                <w:highlight w:val="none"/>
              </w:rPr>
              <w:t>1.取水、运输;2.洒水、路面冲洗。</w:t>
            </w:r>
          </w:p>
        </w:tc>
        <w:tc>
          <w:tcPr>
            <w:tcW w:w="921" w:type="dxa"/>
            <w:shd w:val="clear" w:color="auto" w:fill="FFFFFF" w:themeFill="background1"/>
            <w:vAlign w:val="center"/>
          </w:tcPr>
          <w:p w14:paraId="4994911E">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EFF1F61">
            <w:pPr>
              <w:widowControl/>
              <w:rPr>
                <w:rFonts w:hAnsi="宋体"/>
                <w:color w:val="auto"/>
                <w:sz w:val="21"/>
                <w:szCs w:val="21"/>
                <w:highlight w:val="none"/>
              </w:rPr>
            </w:pPr>
          </w:p>
        </w:tc>
        <w:tc>
          <w:tcPr>
            <w:tcW w:w="650" w:type="dxa"/>
            <w:vMerge w:val="restart"/>
            <w:shd w:val="clear" w:color="auto" w:fill="FFFFFF" w:themeFill="background1"/>
            <w:vAlign w:val="center"/>
          </w:tcPr>
          <w:p w14:paraId="5ADA5199">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5C1B72C">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58CEB687">
            <w:pPr>
              <w:widowControl/>
              <w:jc w:val="center"/>
              <w:rPr>
                <w:rFonts w:hAnsi="宋体"/>
                <w:color w:val="auto"/>
                <w:sz w:val="21"/>
                <w:szCs w:val="21"/>
                <w:highlight w:val="none"/>
              </w:rPr>
            </w:pPr>
            <w:r>
              <w:rPr>
                <w:rFonts w:hint="eastAsia" w:hAnsi="宋体"/>
                <w:color w:val="auto"/>
                <w:sz w:val="21"/>
                <w:szCs w:val="21"/>
                <w:highlight w:val="none"/>
              </w:rPr>
              <w:t>按每周2次，每次不少于20km</w:t>
            </w:r>
          </w:p>
        </w:tc>
      </w:tr>
      <w:tr w14:paraId="20FA93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3A3F4886">
            <w:pPr>
              <w:widowControl/>
              <w:rPr>
                <w:rFonts w:hAnsi="宋体"/>
                <w:color w:val="auto"/>
                <w:sz w:val="21"/>
                <w:szCs w:val="21"/>
                <w:highlight w:val="none"/>
              </w:rPr>
            </w:pPr>
          </w:p>
        </w:tc>
        <w:tc>
          <w:tcPr>
            <w:tcW w:w="1098" w:type="dxa"/>
            <w:vMerge w:val="continue"/>
            <w:shd w:val="clear" w:color="auto" w:fill="FFFFFF" w:themeFill="background1"/>
            <w:vAlign w:val="center"/>
          </w:tcPr>
          <w:p w14:paraId="5E148C57">
            <w:pPr>
              <w:widowControl/>
              <w:rPr>
                <w:rFonts w:hAnsi="宋体"/>
                <w:color w:val="auto"/>
                <w:sz w:val="21"/>
                <w:szCs w:val="21"/>
                <w:highlight w:val="none"/>
              </w:rPr>
            </w:pPr>
          </w:p>
        </w:tc>
        <w:tc>
          <w:tcPr>
            <w:tcW w:w="2339" w:type="dxa"/>
            <w:vMerge w:val="continue"/>
            <w:shd w:val="clear" w:color="auto" w:fill="FFFFFF" w:themeFill="background1"/>
            <w:vAlign w:val="center"/>
          </w:tcPr>
          <w:p w14:paraId="74727DFE">
            <w:pPr>
              <w:widowControl/>
              <w:rPr>
                <w:rFonts w:hAnsi="宋体"/>
                <w:color w:val="auto"/>
                <w:sz w:val="21"/>
                <w:szCs w:val="21"/>
                <w:highlight w:val="none"/>
              </w:rPr>
            </w:pPr>
          </w:p>
        </w:tc>
        <w:tc>
          <w:tcPr>
            <w:tcW w:w="921" w:type="dxa"/>
            <w:shd w:val="clear" w:color="auto" w:fill="FFFFFF" w:themeFill="background1"/>
            <w:vAlign w:val="center"/>
          </w:tcPr>
          <w:p w14:paraId="5D52EFB6">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28F33E4C">
            <w:pPr>
              <w:widowControl/>
              <w:rPr>
                <w:rFonts w:hAnsi="宋体"/>
                <w:color w:val="auto"/>
                <w:sz w:val="21"/>
                <w:szCs w:val="21"/>
                <w:highlight w:val="none"/>
              </w:rPr>
            </w:pPr>
          </w:p>
        </w:tc>
        <w:tc>
          <w:tcPr>
            <w:tcW w:w="650" w:type="dxa"/>
            <w:vMerge w:val="continue"/>
            <w:shd w:val="clear" w:color="auto" w:fill="FFFFFF" w:themeFill="background1"/>
            <w:vAlign w:val="center"/>
          </w:tcPr>
          <w:p w14:paraId="02C88BF9">
            <w:pPr>
              <w:widowControl/>
              <w:rPr>
                <w:rFonts w:hAnsi="宋体"/>
                <w:color w:val="auto"/>
                <w:sz w:val="21"/>
                <w:szCs w:val="21"/>
                <w:highlight w:val="none"/>
              </w:rPr>
            </w:pPr>
          </w:p>
        </w:tc>
        <w:tc>
          <w:tcPr>
            <w:tcW w:w="709" w:type="dxa"/>
            <w:shd w:val="clear" w:color="auto" w:fill="FFFFFF" w:themeFill="background1"/>
            <w:vAlign w:val="center"/>
          </w:tcPr>
          <w:p w14:paraId="5926B323">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66F39D3F">
            <w:pPr>
              <w:widowControl/>
              <w:jc w:val="center"/>
              <w:rPr>
                <w:rFonts w:hAnsi="宋体"/>
                <w:color w:val="auto"/>
                <w:sz w:val="21"/>
                <w:szCs w:val="21"/>
                <w:highlight w:val="none"/>
              </w:rPr>
            </w:pPr>
            <w:r>
              <w:rPr>
                <w:rFonts w:hint="eastAsia" w:hAnsi="宋体"/>
                <w:color w:val="auto"/>
                <w:sz w:val="21"/>
                <w:szCs w:val="21"/>
                <w:highlight w:val="none"/>
              </w:rPr>
              <w:t>按每周2次，每次不少于20km</w:t>
            </w:r>
          </w:p>
        </w:tc>
      </w:tr>
      <w:tr w14:paraId="25C55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55" w:hRule="atLeast"/>
          <w:jc w:val="center"/>
        </w:trPr>
        <w:tc>
          <w:tcPr>
            <w:tcW w:w="699" w:type="dxa"/>
            <w:vMerge w:val="restart"/>
            <w:shd w:val="clear" w:color="auto" w:fill="FFFFFF" w:themeFill="background1"/>
            <w:noWrap/>
            <w:vAlign w:val="center"/>
          </w:tcPr>
          <w:p w14:paraId="3D4AF384">
            <w:pPr>
              <w:widowControl/>
              <w:jc w:val="center"/>
              <w:rPr>
                <w:rFonts w:hAnsi="宋体"/>
                <w:color w:val="auto"/>
                <w:sz w:val="21"/>
                <w:szCs w:val="21"/>
                <w:highlight w:val="none"/>
              </w:rPr>
            </w:pPr>
            <w:r>
              <w:rPr>
                <w:rFonts w:hint="eastAsia" w:hAnsi="宋体"/>
                <w:color w:val="auto"/>
                <w:sz w:val="21"/>
                <w:szCs w:val="21"/>
                <w:highlight w:val="none"/>
              </w:rPr>
              <w:t>综合养护</w:t>
            </w:r>
          </w:p>
        </w:tc>
        <w:tc>
          <w:tcPr>
            <w:tcW w:w="1098" w:type="dxa"/>
            <w:vMerge w:val="restart"/>
            <w:shd w:val="clear" w:color="auto" w:fill="FFFFFF" w:themeFill="background1"/>
            <w:vAlign w:val="center"/>
          </w:tcPr>
          <w:p w14:paraId="7FCA77A0">
            <w:pPr>
              <w:widowControl/>
              <w:jc w:val="center"/>
              <w:rPr>
                <w:rFonts w:hAnsi="宋体"/>
                <w:color w:val="auto"/>
                <w:sz w:val="21"/>
                <w:szCs w:val="21"/>
                <w:highlight w:val="none"/>
              </w:rPr>
            </w:pPr>
            <w:r>
              <w:rPr>
                <w:rFonts w:hint="eastAsia" w:hAnsi="宋体"/>
                <w:color w:val="auto"/>
                <w:sz w:val="21"/>
                <w:szCs w:val="21"/>
                <w:highlight w:val="none"/>
              </w:rPr>
              <w:t>坑槽修补（冷补料修补）</w:t>
            </w:r>
          </w:p>
        </w:tc>
        <w:tc>
          <w:tcPr>
            <w:tcW w:w="2339" w:type="dxa"/>
            <w:vMerge w:val="restart"/>
            <w:shd w:val="clear" w:color="auto" w:fill="FFFFFF" w:themeFill="background1"/>
            <w:vAlign w:val="center"/>
          </w:tcPr>
          <w:p w14:paraId="22478040">
            <w:pPr>
              <w:widowControl/>
              <w:rPr>
                <w:rFonts w:hAnsi="宋体"/>
                <w:color w:val="auto"/>
                <w:sz w:val="21"/>
                <w:szCs w:val="21"/>
                <w:highlight w:val="none"/>
              </w:rPr>
            </w:pPr>
            <w:r>
              <w:rPr>
                <w:rFonts w:hint="eastAsia" w:hAnsi="宋体"/>
                <w:color w:val="auto"/>
                <w:sz w:val="21"/>
                <w:szCs w:val="21"/>
                <w:highlight w:val="none"/>
              </w:rPr>
              <w:t>1.作业面清理;2拆除旧沥青混合料，废料清理、装卸、运输、定点堆放；3.摊铺、整平、碾压；4.沥青冷补料修补。5.冷补材料需采购人确认后方可使用。</w:t>
            </w:r>
          </w:p>
        </w:tc>
        <w:tc>
          <w:tcPr>
            <w:tcW w:w="921" w:type="dxa"/>
            <w:shd w:val="clear" w:color="auto" w:fill="FFFFFF" w:themeFill="background1"/>
            <w:vAlign w:val="center"/>
          </w:tcPr>
          <w:p w14:paraId="6FB7682F">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496D0F8F">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24CEEA0D">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4971587E">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7D316BC3">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服务期内根据采购人要求进行修补，面积约21m³</w:t>
            </w:r>
          </w:p>
        </w:tc>
      </w:tr>
      <w:tr w14:paraId="1E3CCA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510DA23">
            <w:pPr>
              <w:widowControl/>
              <w:rPr>
                <w:rFonts w:hAnsi="宋体"/>
                <w:color w:val="auto"/>
                <w:sz w:val="21"/>
                <w:szCs w:val="21"/>
                <w:highlight w:val="none"/>
              </w:rPr>
            </w:pPr>
          </w:p>
        </w:tc>
        <w:tc>
          <w:tcPr>
            <w:tcW w:w="1098" w:type="dxa"/>
            <w:vMerge w:val="continue"/>
            <w:shd w:val="clear" w:color="auto" w:fill="FFFFFF" w:themeFill="background1"/>
            <w:vAlign w:val="center"/>
          </w:tcPr>
          <w:p w14:paraId="5384827E">
            <w:pPr>
              <w:widowControl/>
              <w:rPr>
                <w:rFonts w:hAnsi="宋体"/>
                <w:color w:val="auto"/>
                <w:sz w:val="21"/>
                <w:szCs w:val="21"/>
                <w:highlight w:val="none"/>
              </w:rPr>
            </w:pPr>
          </w:p>
        </w:tc>
        <w:tc>
          <w:tcPr>
            <w:tcW w:w="2339" w:type="dxa"/>
            <w:vMerge w:val="continue"/>
            <w:shd w:val="clear" w:color="auto" w:fill="FFFFFF" w:themeFill="background1"/>
            <w:vAlign w:val="center"/>
          </w:tcPr>
          <w:p w14:paraId="410B3079">
            <w:pPr>
              <w:widowControl/>
              <w:rPr>
                <w:rFonts w:hAnsi="宋体"/>
                <w:color w:val="auto"/>
                <w:sz w:val="21"/>
                <w:szCs w:val="21"/>
                <w:highlight w:val="none"/>
              </w:rPr>
            </w:pPr>
          </w:p>
        </w:tc>
        <w:tc>
          <w:tcPr>
            <w:tcW w:w="921" w:type="dxa"/>
            <w:shd w:val="clear" w:color="auto" w:fill="FFFFFF" w:themeFill="background1"/>
            <w:vAlign w:val="center"/>
          </w:tcPr>
          <w:p w14:paraId="4183A584">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BCE9442">
            <w:pPr>
              <w:widowControl/>
              <w:rPr>
                <w:rFonts w:hAnsi="宋体"/>
                <w:color w:val="auto"/>
                <w:sz w:val="21"/>
                <w:szCs w:val="21"/>
                <w:highlight w:val="none"/>
              </w:rPr>
            </w:pPr>
          </w:p>
        </w:tc>
        <w:tc>
          <w:tcPr>
            <w:tcW w:w="650" w:type="dxa"/>
            <w:vMerge w:val="continue"/>
            <w:shd w:val="clear" w:color="auto" w:fill="FFFFFF" w:themeFill="background1"/>
            <w:vAlign w:val="center"/>
          </w:tcPr>
          <w:p w14:paraId="1347A017">
            <w:pPr>
              <w:widowControl/>
              <w:rPr>
                <w:rFonts w:hAnsi="宋体"/>
                <w:color w:val="auto"/>
                <w:sz w:val="21"/>
                <w:szCs w:val="21"/>
                <w:highlight w:val="none"/>
              </w:rPr>
            </w:pPr>
          </w:p>
        </w:tc>
        <w:tc>
          <w:tcPr>
            <w:tcW w:w="709" w:type="dxa"/>
            <w:shd w:val="clear" w:color="auto" w:fill="FFFFFF" w:themeFill="background1"/>
            <w:vAlign w:val="center"/>
          </w:tcPr>
          <w:p w14:paraId="58035D43">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48393C12">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服务期内根据采购人要求进行修补，面积约16m³</w:t>
            </w:r>
          </w:p>
        </w:tc>
      </w:tr>
      <w:tr w14:paraId="440FD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90" w:hRule="atLeast"/>
          <w:jc w:val="center"/>
        </w:trPr>
        <w:tc>
          <w:tcPr>
            <w:tcW w:w="699" w:type="dxa"/>
            <w:vMerge w:val="continue"/>
            <w:shd w:val="clear" w:color="auto" w:fill="FFFFFF" w:themeFill="background1"/>
            <w:vAlign w:val="center"/>
          </w:tcPr>
          <w:p w14:paraId="3F32D74E">
            <w:pPr>
              <w:widowControl/>
              <w:rPr>
                <w:rFonts w:hAnsi="宋体"/>
                <w:color w:val="auto"/>
                <w:sz w:val="21"/>
                <w:szCs w:val="21"/>
                <w:highlight w:val="none"/>
              </w:rPr>
            </w:pPr>
          </w:p>
        </w:tc>
        <w:tc>
          <w:tcPr>
            <w:tcW w:w="1098" w:type="dxa"/>
            <w:vMerge w:val="restart"/>
            <w:shd w:val="clear" w:color="auto" w:fill="FFFFFF" w:themeFill="background1"/>
            <w:vAlign w:val="center"/>
          </w:tcPr>
          <w:p w14:paraId="40DC5FFD">
            <w:pPr>
              <w:widowControl/>
              <w:jc w:val="center"/>
              <w:rPr>
                <w:rFonts w:hAnsi="宋体"/>
                <w:color w:val="auto"/>
                <w:sz w:val="21"/>
                <w:szCs w:val="21"/>
                <w:highlight w:val="none"/>
              </w:rPr>
            </w:pPr>
            <w:r>
              <w:rPr>
                <w:rFonts w:hint="eastAsia" w:hAnsi="宋体"/>
                <w:color w:val="auto"/>
                <w:sz w:val="21"/>
                <w:szCs w:val="21"/>
                <w:highlight w:val="none"/>
              </w:rPr>
              <w:t>坑槽修补（热料热补）</w:t>
            </w:r>
          </w:p>
        </w:tc>
        <w:tc>
          <w:tcPr>
            <w:tcW w:w="2339" w:type="dxa"/>
            <w:vMerge w:val="restart"/>
            <w:shd w:val="clear" w:color="auto" w:fill="FFFFFF" w:themeFill="background1"/>
            <w:vAlign w:val="center"/>
          </w:tcPr>
          <w:p w14:paraId="418BE8FE">
            <w:pPr>
              <w:widowControl/>
              <w:rPr>
                <w:rFonts w:hAnsi="宋体"/>
                <w:color w:val="auto"/>
                <w:sz w:val="21"/>
                <w:szCs w:val="21"/>
                <w:highlight w:val="none"/>
              </w:rPr>
            </w:pPr>
            <w:r>
              <w:rPr>
                <w:rFonts w:hint="eastAsia" w:hAnsi="宋体"/>
                <w:color w:val="auto"/>
                <w:sz w:val="21"/>
                <w:szCs w:val="21"/>
                <w:highlight w:val="none"/>
              </w:rPr>
              <w:t>1.作业面清理;2拆除旧沥青混合料，废料清理、装卸、运输、定点堆放；3.喷洒、涂覆黏合材料；4.混合料制备、运输、保温加热、摊铺、整平、碾压；5.热料热补，用综合维修车或者保温桶从料场取料后现场维修。6.热补材料需采购人确认后方可使用。</w:t>
            </w:r>
          </w:p>
        </w:tc>
        <w:tc>
          <w:tcPr>
            <w:tcW w:w="921" w:type="dxa"/>
            <w:shd w:val="clear" w:color="auto" w:fill="FFFFFF" w:themeFill="background1"/>
            <w:vAlign w:val="center"/>
          </w:tcPr>
          <w:p w14:paraId="2A2DD70B">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8BCC3FD">
            <w:pPr>
              <w:widowControl/>
              <w:rPr>
                <w:rFonts w:hAnsi="宋体"/>
                <w:color w:val="auto"/>
                <w:sz w:val="21"/>
                <w:szCs w:val="21"/>
                <w:highlight w:val="none"/>
              </w:rPr>
            </w:pPr>
          </w:p>
        </w:tc>
        <w:tc>
          <w:tcPr>
            <w:tcW w:w="650" w:type="dxa"/>
            <w:vMerge w:val="restart"/>
            <w:shd w:val="clear" w:color="auto" w:fill="FFFFFF" w:themeFill="background1"/>
            <w:vAlign w:val="center"/>
          </w:tcPr>
          <w:p w14:paraId="31250A3C">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A923A88">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5C4F1AA">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服务期内根据采购人要求进行修补，面积约14m³</w:t>
            </w:r>
          </w:p>
        </w:tc>
      </w:tr>
      <w:tr w14:paraId="04DB3A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2CB841B">
            <w:pPr>
              <w:widowControl/>
              <w:rPr>
                <w:rFonts w:hAnsi="宋体"/>
                <w:color w:val="auto"/>
                <w:sz w:val="21"/>
                <w:szCs w:val="21"/>
                <w:highlight w:val="none"/>
              </w:rPr>
            </w:pPr>
          </w:p>
        </w:tc>
        <w:tc>
          <w:tcPr>
            <w:tcW w:w="1098" w:type="dxa"/>
            <w:vMerge w:val="continue"/>
            <w:shd w:val="clear" w:color="auto" w:fill="FFFFFF" w:themeFill="background1"/>
            <w:vAlign w:val="center"/>
          </w:tcPr>
          <w:p w14:paraId="3DDC75C5">
            <w:pPr>
              <w:widowControl/>
              <w:rPr>
                <w:rFonts w:hAnsi="宋体"/>
                <w:color w:val="auto"/>
                <w:sz w:val="21"/>
                <w:szCs w:val="21"/>
                <w:highlight w:val="none"/>
              </w:rPr>
            </w:pPr>
          </w:p>
        </w:tc>
        <w:tc>
          <w:tcPr>
            <w:tcW w:w="2339" w:type="dxa"/>
            <w:vMerge w:val="continue"/>
            <w:shd w:val="clear" w:color="auto" w:fill="FFFFFF" w:themeFill="background1"/>
            <w:vAlign w:val="center"/>
          </w:tcPr>
          <w:p w14:paraId="0B3FCA37">
            <w:pPr>
              <w:widowControl/>
              <w:rPr>
                <w:rFonts w:hAnsi="宋体"/>
                <w:color w:val="auto"/>
                <w:sz w:val="21"/>
                <w:szCs w:val="21"/>
                <w:highlight w:val="none"/>
              </w:rPr>
            </w:pPr>
          </w:p>
        </w:tc>
        <w:tc>
          <w:tcPr>
            <w:tcW w:w="921" w:type="dxa"/>
            <w:shd w:val="clear" w:color="auto" w:fill="FFFFFF" w:themeFill="background1"/>
            <w:vAlign w:val="center"/>
          </w:tcPr>
          <w:p w14:paraId="09E87993">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36E068A">
            <w:pPr>
              <w:widowControl/>
              <w:rPr>
                <w:rFonts w:hAnsi="宋体"/>
                <w:color w:val="auto"/>
                <w:sz w:val="21"/>
                <w:szCs w:val="21"/>
                <w:highlight w:val="none"/>
              </w:rPr>
            </w:pPr>
          </w:p>
        </w:tc>
        <w:tc>
          <w:tcPr>
            <w:tcW w:w="650" w:type="dxa"/>
            <w:vMerge w:val="continue"/>
            <w:shd w:val="clear" w:color="auto" w:fill="FFFFFF" w:themeFill="background1"/>
            <w:vAlign w:val="center"/>
          </w:tcPr>
          <w:p w14:paraId="2BE57C4C">
            <w:pPr>
              <w:widowControl/>
              <w:rPr>
                <w:rFonts w:hAnsi="宋体"/>
                <w:color w:val="auto"/>
                <w:sz w:val="21"/>
                <w:szCs w:val="21"/>
                <w:highlight w:val="none"/>
              </w:rPr>
            </w:pPr>
          </w:p>
        </w:tc>
        <w:tc>
          <w:tcPr>
            <w:tcW w:w="709" w:type="dxa"/>
            <w:shd w:val="clear" w:color="auto" w:fill="FFFFFF" w:themeFill="background1"/>
            <w:vAlign w:val="center"/>
          </w:tcPr>
          <w:p w14:paraId="247CED39">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31C6D2FE">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服务期内根据采购人要求进行修补，面积约5m³</w:t>
            </w:r>
          </w:p>
        </w:tc>
      </w:tr>
      <w:tr w14:paraId="266FC7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8" w:hRule="atLeast"/>
          <w:jc w:val="center"/>
        </w:trPr>
        <w:tc>
          <w:tcPr>
            <w:tcW w:w="699" w:type="dxa"/>
            <w:vMerge w:val="restart"/>
            <w:shd w:val="clear" w:color="auto" w:fill="FFFFFF" w:themeFill="background1"/>
            <w:noWrap/>
            <w:vAlign w:val="center"/>
          </w:tcPr>
          <w:p w14:paraId="1E4CDEC7">
            <w:pPr>
              <w:widowControl/>
              <w:jc w:val="center"/>
              <w:rPr>
                <w:rFonts w:hAnsi="宋体"/>
                <w:color w:val="auto"/>
                <w:sz w:val="21"/>
                <w:szCs w:val="21"/>
                <w:highlight w:val="none"/>
              </w:rPr>
            </w:pPr>
            <w:r>
              <w:rPr>
                <w:rFonts w:hint="eastAsia" w:hAnsi="宋体"/>
                <w:color w:val="auto"/>
                <w:sz w:val="21"/>
                <w:szCs w:val="21"/>
                <w:highlight w:val="none"/>
              </w:rPr>
              <w:t>应急处置</w:t>
            </w:r>
          </w:p>
        </w:tc>
        <w:tc>
          <w:tcPr>
            <w:tcW w:w="1098" w:type="dxa"/>
            <w:vMerge w:val="restart"/>
            <w:shd w:val="clear" w:color="auto" w:fill="FFFFFF" w:themeFill="background1"/>
            <w:vAlign w:val="center"/>
          </w:tcPr>
          <w:p w14:paraId="0A085F7C">
            <w:pPr>
              <w:widowControl/>
              <w:jc w:val="center"/>
              <w:rPr>
                <w:rFonts w:hAnsi="宋体"/>
                <w:color w:val="auto"/>
                <w:sz w:val="21"/>
                <w:szCs w:val="21"/>
                <w:highlight w:val="none"/>
              </w:rPr>
            </w:pPr>
            <w:r>
              <w:rPr>
                <w:rFonts w:hint="eastAsia" w:hAnsi="宋体"/>
                <w:color w:val="auto"/>
                <w:sz w:val="21"/>
                <w:szCs w:val="21"/>
                <w:highlight w:val="none"/>
              </w:rPr>
              <w:t>应急演练</w:t>
            </w:r>
          </w:p>
        </w:tc>
        <w:tc>
          <w:tcPr>
            <w:tcW w:w="2339" w:type="dxa"/>
            <w:vMerge w:val="restart"/>
            <w:shd w:val="clear" w:color="auto" w:fill="FFFFFF" w:themeFill="background1"/>
            <w:vAlign w:val="center"/>
          </w:tcPr>
          <w:p w14:paraId="63F4592C">
            <w:pPr>
              <w:widowControl/>
              <w:rPr>
                <w:rFonts w:hAnsi="宋体"/>
                <w:color w:val="auto"/>
                <w:sz w:val="21"/>
                <w:szCs w:val="21"/>
                <w:highlight w:val="none"/>
              </w:rPr>
            </w:pPr>
            <w:r>
              <w:rPr>
                <w:rFonts w:hint="eastAsia" w:hAnsi="宋体"/>
                <w:color w:val="auto"/>
                <w:sz w:val="21"/>
                <w:szCs w:val="21"/>
                <w:highlight w:val="none"/>
              </w:rPr>
              <w:t>1.组织防台防汛、防冰雪、交通事故、道路阻断等应急演练（包括但不限于以上项目）；</w:t>
            </w:r>
          </w:p>
        </w:tc>
        <w:tc>
          <w:tcPr>
            <w:tcW w:w="921" w:type="dxa"/>
            <w:shd w:val="clear" w:color="auto" w:fill="FFFFFF" w:themeFill="background1"/>
            <w:vAlign w:val="center"/>
          </w:tcPr>
          <w:p w14:paraId="1A93F931">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71595440">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1E7949D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B3B0374">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7B06420F">
            <w:pPr>
              <w:widowControl/>
              <w:jc w:val="center"/>
              <w:rPr>
                <w:rFonts w:hAnsi="宋体"/>
                <w:color w:val="auto"/>
                <w:sz w:val="21"/>
                <w:szCs w:val="21"/>
                <w:highlight w:val="none"/>
              </w:rPr>
            </w:pPr>
            <w:r>
              <w:rPr>
                <w:rFonts w:hint="eastAsia" w:hAnsi="宋体"/>
                <w:color w:val="auto"/>
                <w:sz w:val="21"/>
                <w:szCs w:val="21"/>
                <w:highlight w:val="none"/>
              </w:rPr>
              <w:t>合计每年组织不少于2次演练</w:t>
            </w:r>
          </w:p>
        </w:tc>
      </w:tr>
      <w:tr w14:paraId="111B80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4DCA5AE">
            <w:pPr>
              <w:widowControl/>
              <w:rPr>
                <w:rFonts w:hAnsi="宋体"/>
                <w:color w:val="auto"/>
                <w:sz w:val="21"/>
                <w:szCs w:val="21"/>
                <w:highlight w:val="none"/>
              </w:rPr>
            </w:pPr>
          </w:p>
        </w:tc>
        <w:tc>
          <w:tcPr>
            <w:tcW w:w="1098" w:type="dxa"/>
            <w:vMerge w:val="continue"/>
            <w:shd w:val="clear" w:color="auto" w:fill="FFFFFF" w:themeFill="background1"/>
            <w:vAlign w:val="center"/>
          </w:tcPr>
          <w:p w14:paraId="410AD057">
            <w:pPr>
              <w:widowControl/>
              <w:rPr>
                <w:rFonts w:hAnsi="宋体"/>
                <w:color w:val="auto"/>
                <w:sz w:val="21"/>
                <w:szCs w:val="21"/>
                <w:highlight w:val="none"/>
              </w:rPr>
            </w:pPr>
          </w:p>
        </w:tc>
        <w:tc>
          <w:tcPr>
            <w:tcW w:w="2339" w:type="dxa"/>
            <w:vMerge w:val="continue"/>
            <w:shd w:val="clear" w:color="auto" w:fill="FFFFFF" w:themeFill="background1"/>
            <w:vAlign w:val="center"/>
          </w:tcPr>
          <w:p w14:paraId="5EE03E43">
            <w:pPr>
              <w:widowControl/>
              <w:rPr>
                <w:rFonts w:hAnsi="宋体"/>
                <w:color w:val="auto"/>
                <w:sz w:val="21"/>
                <w:szCs w:val="21"/>
                <w:highlight w:val="none"/>
              </w:rPr>
            </w:pPr>
          </w:p>
        </w:tc>
        <w:tc>
          <w:tcPr>
            <w:tcW w:w="921" w:type="dxa"/>
            <w:shd w:val="clear" w:color="auto" w:fill="FFFFFF" w:themeFill="background1"/>
            <w:vAlign w:val="center"/>
          </w:tcPr>
          <w:p w14:paraId="35111DF8">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3234AD39">
            <w:pPr>
              <w:widowControl/>
              <w:rPr>
                <w:rFonts w:hAnsi="宋体"/>
                <w:color w:val="auto"/>
                <w:sz w:val="21"/>
                <w:szCs w:val="21"/>
                <w:highlight w:val="none"/>
              </w:rPr>
            </w:pPr>
          </w:p>
        </w:tc>
        <w:tc>
          <w:tcPr>
            <w:tcW w:w="650" w:type="dxa"/>
            <w:vMerge w:val="continue"/>
            <w:shd w:val="clear" w:color="auto" w:fill="FFFFFF" w:themeFill="background1"/>
            <w:vAlign w:val="center"/>
          </w:tcPr>
          <w:p w14:paraId="117B0A62">
            <w:pPr>
              <w:widowControl/>
              <w:rPr>
                <w:rFonts w:hAnsi="宋体"/>
                <w:color w:val="auto"/>
                <w:sz w:val="21"/>
                <w:szCs w:val="21"/>
                <w:highlight w:val="none"/>
              </w:rPr>
            </w:pPr>
          </w:p>
        </w:tc>
        <w:tc>
          <w:tcPr>
            <w:tcW w:w="709" w:type="dxa"/>
            <w:shd w:val="clear" w:color="auto" w:fill="FFFFFF" w:themeFill="background1"/>
            <w:vAlign w:val="center"/>
          </w:tcPr>
          <w:p w14:paraId="0512C180">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2BC7A644">
            <w:pPr>
              <w:widowControl/>
              <w:rPr>
                <w:rFonts w:hAnsi="宋体"/>
                <w:color w:val="auto"/>
                <w:sz w:val="21"/>
                <w:szCs w:val="21"/>
                <w:highlight w:val="none"/>
              </w:rPr>
            </w:pPr>
          </w:p>
        </w:tc>
      </w:tr>
      <w:tr w14:paraId="5B91F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7" w:hRule="atLeast"/>
          <w:jc w:val="center"/>
        </w:trPr>
        <w:tc>
          <w:tcPr>
            <w:tcW w:w="699" w:type="dxa"/>
            <w:vMerge w:val="continue"/>
            <w:shd w:val="clear" w:color="auto" w:fill="FFFFFF" w:themeFill="background1"/>
            <w:vAlign w:val="center"/>
          </w:tcPr>
          <w:p w14:paraId="04D9C022">
            <w:pPr>
              <w:widowControl/>
              <w:rPr>
                <w:rFonts w:hAnsi="宋体"/>
                <w:color w:val="auto"/>
                <w:sz w:val="21"/>
                <w:szCs w:val="21"/>
                <w:highlight w:val="none"/>
              </w:rPr>
            </w:pPr>
          </w:p>
        </w:tc>
        <w:tc>
          <w:tcPr>
            <w:tcW w:w="1098" w:type="dxa"/>
            <w:vMerge w:val="restart"/>
            <w:shd w:val="clear" w:color="auto" w:fill="FFFFFF" w:themeFill="background1"/>
            <w:vAlign w:val="center"/>
          </w:tcPr>
          <w:p w14:paraId="3C3AC5A4">
            <w:pPr>
              <w:widowControl/>
              <w:jc w:val="center"/>
              <w:rPr>
                <w:rFonts w:hAnsi="宋体"/>
                <w:color w:val="auto"/>
                <w:sz w:val="21"/>
                <w:szCs w:val="21"/>
                <w:highlight w:val="none"/>
              </w:rPr>
            </w:pPr>
            <w:r>
              <w:rPr>
                <w:rFonts w:hint="eastAsia" w:hAnsi="宋体"/>
                <w:color w:val="auto"/>
                <w:sz w:val="21"/>
                <w:szCs w:val="21"/>
                <w:highlight w:val="none"/>
              </w:rPr>
              <w:t>防风、防汛、除冰雪</w:t>
            </w:r>
          </w:p>
        </w:tc>
        <w:tc>
          <w:tcPr>
            <w:tcW w:w="2339" w:type="dxa"/>
            <w:vMerge w:val="restart"/>
            <w:shd w:val="clear" w:color="auto" w:fill="FFFFFF" w:themeFill="background1"/>
            <w:vAlign w:val="center"/>
          </w:tcPr>
          <w:p w14:paraId="4623529F">
            <w:pPr>
              <w:widowControl/>
              <w:rPr>
                <w:rFonts w:hAnsi="宋体"/>
                <w:color w:val="auto"/>
                <w:sz w:val="21"/>
                <w:szCs w:val="21"/>
                <w:highlight w:val="none"/>
              </w:rPr>
            </w:pPr>
            <w:r>
              <w:rPr>
                <w:rFonts w:hint="eastAsia" w:hAnsi="宋体"/>
                <w:color w:val="auto"/>
                <w:sz w:val="21"/>
                <w:szCs w:val="21"/>
                <w:highlight w:val="none"/>
              </w:rPr>
              <w:t>1.砍伐、裁枝危险行道树；2.汛期强排路面积水；3.清扫、铲运、定点堆放积冰积雪；4.撒融雪剂；5.接令后第一时间处置出现的灾害，确保交通通畅；6.融雪剂、融雪液采购人供应。</w:t>
            </w:r>
          </w:p>
        </w:tc>
        <w:tc>
          <w:tcPr>
            <w:tcW w:w="921" w:type="dxa"/>
            <w:shd w:val="clear" w:color="auto" w:fill="FFFFFF" w:themeFill="background1"/>
            <w:vAlign w:val="center"/>
          </w:tcPr>
          <w:p w14:paraId="57DD2F95">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210A6566">
            <w:pPr>
              <w:widowControl/>
              <w:rPr>
                <w:rFonts w:hAnsi="宋体"/>
                <w:color w:val="auto"/>
                <w:sz w:val="21"/>
                <w:szCs w:val="21"/>
                <w:highlight w:val="none"/>
              </w:rPr>
            </w:pPr>
          </w:p>
        </w:tc>
        <w:tc>
          <w:tcPr>
            <w:tcW w:w="650" w:type="dxa"/>
            <w:vMerge w:val="restart"/>
            <w:shd w:val="clear" w:color="auto" w:fill="FFFFFF" w:themeFill="background1"/>
            <w:vAlign w:val="center"/>
          </w:tcPr>
          <w:p w14:paraId="033D9F53">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5A37068">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14A173A7">
            <w:pPr>
              <w:widowControl/>
              <w:jc w:val="center"/>
              <w:rPr>
                <w:rFonts w:hAnsi="宋体"/>
                <w:color w:val="auto"/>
                <w:sz w:val="21"/>
                <w:szCs w:val="21"/>
                <w:highlight w:val="none"/>
              </w:rPr>
            </w:pPr>
            <w:r>
              <w:rPr>
                <w:rFonts w:hint="eastAsia" w:hAnsi="宋体"/>
                <w:color w:val="auto"/>
                <w:sz w:val="21"/>
                <w:szCs w:val="21"/>
                <w:highlight w:val="none"/>
              </w:rPr>
              <w:t>至少配备草包1000个、砂石3T、木桩50个等应急物资。</w:t>
            </w:r>
          </w:p>
        </w:tc>
      </w:tr>
      <w:tr w14:paraId="0B5324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C33EE97">
            <w:pPr>
              <w:widowControl/>
              <w:rPr>
                <w:rFonts w:hAnsi="宋体"/>
                <w:color w:val="auto"/>
                <w:sz w:val="21"/>
                <w:szCs w:val="21"/>
                <w:highlight w:val="none"/>
              </w:rPr>
            </w:pPr>
          </w:p>
        </w:tc>
        <w:tc>
          <w:tcPr>
            <w:tcW w:w="1098" w:type="dxa"/>
            <w:vMerge w:val="continue"/>
            <w:shd w:val="clear" w:color="auto" w:fill="FFFFFF" w:themeFill="background1"/>
            <w:vAlign w:val="center"/>
          </w:tcPr>
          <w:p w14:paraId="06886821">
            <w:pPr>
              <w:widowControl/>
              <w:rPr>
                <w:rFonts w:hAnsi="宋体"/>
                <w:color w:val="auto"/>
                <w:sz w:val="21"/>
                <w:szCs w:val="21"/>
                <w:highlight w:val="none"/>
              </w:rPr>
            </w:pPr>
          </w:p>
        </w:tc>
        <w:tc>
          <w:tcPr>
            <w:tcW w:w="2339" w:type="dxa"/>
            <w:vMerge w:val="continue"/>
            <w:shd w:val="clear" w:color="auto" w:fill="FFFFFF" w:themeFill="background1"/>
            <w:vAlign w:val="center"/>
          </w:tcPr>
          <w:p w14:paraId="3EBC0001">
            <w:pPr>
              <w:widowControl/>
              <w:rPr>
                <w:rFonts w:hAnsi="宋体"/>
                <w:color w:val="auto"/>
                <w:sz w:val="21"/>
                <w:szCs w:val="21"/>
                <w:highlight w:val="none"/>
              </w:rPr>
            </w:pPr>
          </w:p>
        </w:tc>
        <w:tc>
          <w:tcPr>
            <w:tcW w:w="921" w:type="dxa"/>
            <w:shd w:val="clear" w:color="auto" w:fill="FFFFFF" w:themeFill="background1"/>
            <w:vAlign w:val="center"/>
          </w:tcPr>
          <w:p w14:paraId="285403C4">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AABDCBC">
            <w:pPr>
              <w:widowControl/>
              <w:rPr>
                <w:rFonts w:hAnsi="宋体"/>
                <w:color w:val="auto"/>
                <w:sz w:val="21"/>
                <w:szCs w:val="21"/>
                <w:highlight w:val="none"/>
              </w:rPr>
            </w:pPr>
          </w:p>
        </w:tc>
        <w:tc>
          <w:tcPr>
            <w:tcW w:w="650" w:type="dxa"/>
            <w:vMerge w:val="continue"/>
            <w:shd w:val="clear" w:color="auto" w:fill="FFFFFF" w:themeFill="background1"/>
            <w:vAlign w:val="center"/>
          </w:tcPr>
          <w:p w14:paraId="1B1ABD8F">
            <w:pPr>
              <w:widowControl/>
              <w:rPr>
                <w:rFonts w:hAnsi="宋体"/>
                <w:color w:val="auto"/>
                <w:sz w:val="21"/>
                <w:szCs w:val="21"/>
                <w:highlight w:val="none"/>
              </w:rPr>
            </w:pPr>
          </w:p>
        </w:tc>
        <w:tc>
          <w:tcPr>
            <w:tcW w:w="709" w:type="dxa"/>
            <w:shd w:val="clear" w:color="auto" w:fill="FFFFFF" w:themeFill="background1"/>
            <w:vAlign w:val="center"/>
          </w:tcPr>
          <w:p w14:paraId="40ED4A2B">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072DD0AB">
            <w:pPr>
              <w:widowControl/>
              <w:rPr>
                <w:rFonts w:hAnsi="宋体"/>
                <w:color w:val="auto"/>
                <w:sz w:val="21"/>
                <w:szCs w:val="21"/>
                <w:highlight w:val="none"/>
              </w:rPr>
            </w:pPr>
          </w:p>
        </w:tc>
      </w:tr>
      <w:tr w14:paraId="02919B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00" w:hRule="atLeast"/>
          <w:jc w:val="center"/>
        </w:trPr>
        <w:tc>
          <w:tcPr>
            <w:tcW w:w="699" w:type="dxa"/>
            <w:vMerge w:val="continue"/>
            <w:shd w:val="clear" w:color="auto" w:fill="FFFFFF" w:themeFill="background1"/>
            <w:vAlign w:val="center"/>
          </w:tcPr>
          <w:p w14:paraId="17CC6CFE">
            <w:pPr>
              <w:widowControl/>
              <w:rPr>
                <w:rFonts w:hAnsi="宋体"/>
                <w:color w:val="auto"/>
                <w:sz w:val="21"/>
                <w:szCs w:val="21"/>
                <w:highlight w:val="none"/>
              </w:rPr>
            </w:pPr>
          </w:p>
        </w:tc>
        <w:tc>
          <w:tcPr>
            <w:tcW w:w="1098" w:type="dxa"/>
            <w:vMerge w:val="restart"/>
            <w:shd w:val="clear" w:color="auto" w:fill="FFFFFF" w:themeFill="background1"/>
            <w:vAlign w:val="center"/>
          </w:tcPr>
          <w:p w14:paraId="5147DDDE">
            <w:pPr>
              <w:widowControl/>
              <w:jc w:val="center"/>
              <w:rPr>
                <w:rFonts w:hAnsi="宋体"/>
                <w:color w:val="auto"/>
                <w:sz w:val="21"/>
                <w:szCs w:val="21"/>
                <w:highlight w:val="none"/>
              </w:rPr>
            </w:pPr>
            <w:r>
              <w:rPr>
                <w:rFonts w:hint="eastAsia" w:hAnsi="宋体"/>
                <w:color w:val="auto"/>
                <w:sz w:val="21"/>
                <w:szCs w:val="21"/>
                <w:highlight w:val="none"/>
              </w:rPr>
              <w:t>应急值班</w:t>
            </w:r>
          </w:p>
        </w:tc>
        <w:tc>
          <w:tcPr>
            <w:tcW w:w="2339" w:type="dxa"/>
            <w:vMerge w:val="restart"/>
            <w:shd w:val="clear" w:color="auto" w:fill="FFFFFF" w:themeFill="background1"/>
            <w:vAlign w:val="center"/>
          </w:tcPr>
          <w:p w14:paraId="62DAFE9C">
            <w:pPr>
              <w:widowControl/>
              <w:rPr>
                <w:rFonts w:hAnsi="宋体"/>
                <w:color w:val="auto"/>
                <w:sz w:val="21"/>
                <w:szCs w:val="21"/>
                <w:highlight w:val="none"/>
              </w:rPr>
            </w:pPr>
            <w:r>
              <w:rPr>
                <w:rFonts w:hint="eastAsia" w:hAnsi="宋体"/>
                <w:color w:val="auto"/>
                <w:sz w:val="21"/>
                <w:szCs w:val="21"/>
                <w:highlight w:val="none"/>
              </w:rPr>
              <w:t>1.夜间值班2人/天，值班人员接到任务通知后开展应急处置。</w:t>
            </w:r>
          </w:p>
          <w:p w14:paraId="2A1676F6">
            <w:pPr>
              <w:widowControl/>
              <w:rPr>
                <w:rFonts w:hAnsi="宋体"/>
                <w:color w:val="auto"/>
                <w:sz w:val="21"/>
                <w:szCs w:val="21"/>
                <w:highlight w:val="none"/>
              </w:rPr>
            </w:pPr>
            <w:r>
              <w:rPr>
                <w:rFonts w:hint="eastAsia" w:hAnsi="宋体"/>
                <w:color w:val="auto"/>
                <w:sz w:val="21"/>
                <w:szCs w:val="21"/>
                <w:highlight w:val="none"/>
              </w:rPr>
              <w:t>2.应对强降雨、大风、冰雪天气、交通事故等应急突发事件，加强值班值守，增加值班人员。3.</w:t>
            </w:r>
            <w:r>
              <w:rPr>
                <w:rFonts w:hAnsi="宋体"/>
                <w:color w:val="auto"/>
                <w:sz w:val="21"/>
                <w:szCs w:val="21"/>
                <w:highlight w:val="none"/>
              </w:rPr>
              <w:t>公路养护应急基地</w:t>
            </w:r>
            <w:r>
              <w:rPr>
                <w:rFonts w:hint="eastAsia" w:hAnsi="宋体"/>
                <w:color w:val="auto"/>
                <w:sz w:val="21"/>
                <w:szCs w:val="21"/>
                <w:highlight w:val="none"/>
              </w:rPr>
              <w:t>运维服务，保证基地正常运行。</w:t>
            </w:r>
          </w:p>
        </w:tc>
        <w:tc>
          <w:tcPr>
            <w:tcW w:w="921" w:type="dxa"/>
            <w:shd w:val="clear" w:color="auto" w:fill="FFFFFF" w:themeFill="background1"/>
            <w:vAlign w:val="center"/>
          </w:tcPr>
          <w:p w14:paraId="672F81F2">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7D86F458">
            <w:pPr>
              <w:widowControl/>
              <w:rPr>
                <w:rFonts w:hAnsi="宋体"/>
                <w:color w:val="auto"/>
                <w:sz w:val="21"/>
                <w:szCs w:val="21"/>
                <w:highlight w:val="none"/>
              </w:rPr>
            </w:pPr>
          </w:p>
        </w:tc>
        <w:tc>
          <w:tcPr>
            <w:tcW w:w="650" w:type="dxa"/>
            <w:vMerge w:val="restart"/>
            <w:shd w:val="clear" w:color="auto" w:fill="FFFFFF" w:themeFill="background1"/>
            <w:vAlign w:val="center"/>
          </w:tcPr>
          <w:p w14:paraId="05608551">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331CDAC1">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restart"/>
            <w:shd w:val="clear" w:color="auto" w:fill="FFFFFF" w:themeFill="background1"/>
            <w:vAlign w:val="center"/>
          </w:tcPr>
          <w:p w14:paraId="714D7DFD">
            <w:pPr>
              <w:widowControl/>
              <w:jc w:val="center"/>
              <w:rPr>
                <w:rFonts w:hAnsi="宋体"/>
                <w:color w:val="auto"/>
                <w:sz w:val="21"/>
                <w:szCs w:val="21"/>
                <w:highlight w:val="none"/>
              </w:rPr>
            </w:pPr>
            <w:r>
              <w:rPr>
                <w:rFonts w:hint="eastAsia" w:hAnsi="宋体"/>
                <w:color w:val="auto"/>
                <w:sz w:val="21"/>
                <w:szCs w:val="21"/>
                <w:highlight w:val="none"/>
              </w:rPr>
              <w:t>服务期内夜间值班提供合计不少于402工日</w:t>
            </w:r>
          </w:p>
        </w:tc>
      </w:tr>
      <w:tr w14:paraId="1F7B0D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BB772E7">
            <w:pPr>
              <w:widowControl/>
              <w:rPr>
                <w:rFonts w:hAnsi="宋体"/>
                <w:color w:val="auto"/>
                <w:sz w:val="21"/>
                <w:szCs w:val="21"/>
                <w:highlight w:val="none"/>
              </w:rPr>
            </w:pPr>
          </w:p>
        </w:tc>
        <w:tc>
          <w:tcPr>
            <w:tcW w:w="1098" w:type="dxa"/>
            <w:vMerge w:val="continue"/>
            <w:shd w:val="clear" w:color="auto" w:fill="FFFFFF" w:themeFill="background1"/>
            <w:vAlign w:val="center"/>
          </w:tcPr>
          <w:p w14:paraId="3F7F423A">
            <w:pPr>
              <w:widowControl/>
              <w:rPr>
                <w:rFonts w:hAnsi="宋体"/>
                <w:color w:val="auto"/>
                <w:sz w:val="21"/>
                <w:szCs w:val="21"/>
                <w:highlight w:val="none"/>
              </w:rPr>
            </w:pPr>
          </w:p>
        </w:tc>
        <w:tc>
          <w:tcPr>
            <w:tcW w:w="2339" w:type="dxa"/>
            <w:vMerge w:val="continue"/>
            <w:shd w:val="clear" w:color="auto" w:fill="FFFFFF" w:themeFill="background1"/>
            <w:vAlign w:val="center"/>
          </w:tcPr>
          <w:p w14:paraId="4C9AB500">
            <w:pPr>
              <w:widowControl/>
              <w:rPr>
                <w:rFonts w:hAnsi="宋体"/>
                <w:color w:val="auto"/>
                <w:sz w:val="21"/>
                <w:szCs w:val="21"/>
                <w:highlight w:val="none"/>
              </w:rPr>
            </w:pPr>
          </w:p>
        </w:tc>
        <w:tc>
          <w:tcPr>
            <w:tcW w:w="921" w:type="dxa"/>
            <w:shd w:val="clear" w:color="auto" w:fill="FFFFFF" w:themeFill="background1"/>
            <w:vAlign w:val="center"/>
          </w:tcPr>
          <w:p w14:paraId="628B3E4F">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2FD2DF33">
            <w:pPr>
              <w:widowControl/>
              <w:rPr>
                <w:rFonts w:hAnsi="宋体"/>
                <w:color w:val="auto"/>
                <w:sz w:val="21"/>
                <w:szCs w:val="21"/>
                <w:highlight w:val="none"/>
              </w:rPr>
            </w:pPr>
          </w:p>
        </w:tc>
        <w:tc>
          <w:tcPr>
            <w:tcW w:w="650" w:type="dxa"/>
            <w:vMerge w:val="continue"/>
            <w:shd w:val="clear" w:color="auto" w:fill="FFFFFF" w:themeFill="background1"/>
            <w:vAlign w:val="center"/>
          </w:tcPr>
          <w:p w14:paraId="18279297">
            <w:pPr>
              <w:widowControl/>
              <w:rPr>
                <w:rFonts w:hAnsi="宋体"/>
                <w:color w:val="auto"/>
                <w:sz w:val="21"/>
                <w:szCs w:val="21"/>
                <w:highlight w:val="none"/>
              </w:rPr>
            </w:pPr>
          </w:p>
        </w:tc>
        <w:tc>
          <w:tcPr>
            <w:tcW w:w="709" w:type="dxa"/>
            <w:shd w:val="clear" w:color="auto" w:fill="FFFFFF" w:themeFill="background1"/>
            <w:vAlign w:val="center"/>
          </w:tcPr>
          <w:p w14:paraId="04FD6112">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vMerge w:val="continue"/>
            <w:shd w:val="clear" w:color="auto" w:fill="FFFFFF" w:themeFill="background1"/>
            <w:vAlign w:val="center"/>
          </w:tcPr>
          <w:p w14:paraId="39CDE224">
            <w:pPr>
              <w:widowControl/>
              <w:rPr>
                <w:rFonts w:hAnsi="宋体"/>
                <w:color w:val="auto"/>
                <w:sz w:val="21"/>
                <w:szCs w:val="21"/>
                <w:highlight w:val="none"/>
              </w:rPr>
            </w:pPr>
          </w:p>
        </w:tc>
      </w:tr>
      <w:tr w14:paraId="69756B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restart"/>
            <w:shd w:val="clear" w:color="auto" w:fill="FFFFFF" w:themeFill="background1"/>
            <w:noWrap/>
            <w:vAlign w:val="center"/>
          </w:tcPr>
          <w:p w14:paraId="4200F348">
            <w:pPr>
              <w:widowControl/>
              <w:jc w:val="center"/>
              <w:rPr>
                <w:rFonts w:hAnsi="宋体"/>
                <w:color w:val="auto"/>
                <w:sz w:val="21"/>
                <w:szCs w:val="21"/>
                <w:highlight w:val="none"/>
              </w:rPr>
            </w:pPr>
            <w:r>
              <w:rPr>
                <w:rFonts w:hint="eastAsia" w:hAnsi="宋体"/>
                <w:color w:val="auto"/>
                <w:sz w:val="21"/>
                <w:szCs w:val="21"/>
                <w:highlight w:val="none"/>
              </w:rPr>
              <w:t>保险</w:t>
            </w:r>
          </w:p>
        </w:tc>
        <w:tc>
          <w:tcPr>
            <w:tcW w:w="1098" w:type="dxa"/>
            <w:vMerge w:val="restart"/>
            <w:shd w:val="clear" w:color="auto" w:fill="FFFFFF" w:themeFill="background1"/>
            <w:vAlign w:val="center"/>
          </w:tcPr>
          <w:p w14:paraId="76E3D803">
            <w:pPr>
              <w:widowControl/>
              <w:jc w:val="center"/>
              <w:rPr>
                <w:rFonts w:hAnsi="宋体"/>
                <w:color w:val="auto"/>
                <w:sz w:val="21"/>
                <w:szCs w:val="21"/>
                <w:highlight w:val="none"/>
              </w:rPr>
            </w:pPr>
            <w:r>
              <w:rPr>
                <w:rFonts w:hint="eastAsia" w:hAnsi="宋体"/>
                <w:color w:val="auto"/>
                <w:sz w:val="21"/>
                <w:szCs w:val="21"/>
                <w:highlight w:val="none"/>
              </w:rPr>
              <w:t>公众责任险</w:t>
            </w:r>
          </w:p>
        </w:tc>
        <w:tc>
          <w:tcPr>
            <w:tcW w:w="2339" w:type="dxa"/>
            <w:vMerge w:val="restart"/>
            <w:shd w:val="clear" w:color="auto" w:fill="FFFFFF" w:themeFill="background1"/>
            <w:vAlign w:val="center"/>
          </w:tcPr>
          <w:p w14:paraId="34F571F6">
            <w:pPr>
              <w:widowControl/>
              <w:rPr>
                <w:rFonts w:hAnsi="宋体"/>
                <w:color w:val="auto"/>
                <w:sz w:val="21"/>
                <w:szCs w:val="21"/>
                <w:highlight w:val="none"/>
              </w:rPr>
            </w:pPr>
            <w:r>
              <w:rPr>
                <w:rFonts w:hint="eastAsia" w:hAnsi="宋体"/>
                <w:color w:val="auto"/>
                <w:sz w:val="21"/>
                <w:szCs w:val="21"/>
                <w:highlight w:val="none"/>
              </w:rPr>
              <w:t>保险内容：因管养的公路及附属设施缺陷导致第三者人身伤亡或财产损失而依法应承担赔偿责任。</w:t>
            </w:r>
          </w:p>
        </w:tc>
        <w:tc>
          <w:tcPr>
            <w:tcW w:w="921" w:type="dxa"/>
            <w:shd w:val="clear" w:color="auto" w:fill="FFFFFF" w:themeFill="background1"/>
            <w:vAlign w:val="center"/>
          </w:tcPr>
          <w:p w14:paraId="5D7A1BA3">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311138CC">
            <w:pPr>
              <w:widowControl/>
              <w:jc w:val="center"/>
              <w:rPr>
                <w:rFonts w:hAnsi="宋体"/>
                <w:color w:val="auto"/>
                <w:sz w:val="21"/>
                <w:szCs w:val="21"/>
                <w:highlight w:val="none"/>
              </w:rPr>
            </w:pPr>
            <w:r>
              <w:rPr>
                <w:rFonts w:hint="eastAsia" w:hAnsi="宋体"/>
                <w:color w:val="auto"/>
                <w:sz w:val="21"/>
                <w:szCs w:val="21"/>
                <w:highlight w:val="none"/>
              </w:rPr>
              <w:t>2026.08.01-2027.07.31</w:t>
            </w:r>
          </w:p>
        </w:tc>
        <w:tc>
          <w:tcPr>
            <w:tcW w:w="650" w:type="dxa"/>
            <w:vMerge w:val="restart"/>
            <w:shd w:val="clear" w:color="auto" w:fill="FFFFFF" w:themeFill="background1"/>
            <w:vAlign w:val="center"/>
          </w:tcPr>
          <w:p w14:paraId="02C78AFF">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5D462A83">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40602787">
            <w:pPr>
              <w:widowControl/>
              <w:jc w:val="center"/>
              <w:rPr>
                <w:rFonts w:hAnsi="宋体"/>
                <w:color w:val="auto"/>
                <w:sz w:val="21"/>
                <w:szCs w:val="21"/>
                <w:highlight w:val="none"/>
              </w:rPr>
            </w:pPr>
            <w:r>
              <w:rPr>
                <w:rFonts w:hint="eastAsia" w:hAnsi="宋体"/>
                <w:color w:val="auto"/>
                <w:sz w:val="21"/>
                <w:szCs w:val="21"/>
                <w:highlight w:val="none"/>
              </w:rPr>
              <w:t>年累计赔偿限额不低于300万</w:t>
            </w:r>
          </w:p>
        </w:tc>
      </w:tr>
      <w:tr w14:paraId="530379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3CA3EA8">
            <w:pPr>
              <w:widowControl/>
              <w:rPr>
                <w:rFonts w:hAnsi="宋体"/>
                <w:color w:val="auto"/>
                <w:sz w:val="21"/>
                <w:szCs w:val="21"/>
                <w:highlight w:val="none"/>
              </w:rPr>
            </w:pPr>
          </w:p>
        </w:tc>
        <w:tc>
          <w:tcPr>
            <w:tcW w:w="1098" w:type="dxa"/>
            <w:vMerge w:val="continue"/>
            <w:shd w:val="clear" w:color="auto" w:fill="FFFFFF" w:themeFill="background1"/>
            <w:vAlign w:val="center"/>
          </w:tcPr>
          <w:p w14:paraId="79B772CA">
            <w:pPr>
              <w:widowControl/>
              <w:rPr>
                <w:rFonts w:hAnsi="宋体"/>
                <w:color w:val="auto"/>
                <w:sz w:val="21"/>
                <w:szCs w:val="21"/>
                <w:highlight w:val="none"/>
              </w:rPr>
            </w:pPr>
          </w:p>
        </w:tc>
        <w:tc>
          <w:tcPr>
            <w:tcW w:w="2339" w:type="dxa"/>
            <w:vMerge w:val="continue"/>
            <w:shd w:val="clear" w:color="auto" w:fill="FFFFFF" w:themeFill="background1"/>
            <w:vAlign w:val="center"/>
          </w:tcPr>
          <w:p w14:paraId="5D452591">
            <w:pPr>
              <w:widowControl/>
              <w:rPr>
                <w:rFonts w:hAnsi="宋体"/>
                <w:color w:val="auto"/>
                <w:sz w:val="21"/>
                <w:szCs w:val="21"/>
                <w:highlight w:val="none"/>
              </w:rPr>
            </w:pPr>
          </w:p>
        </w:tc>
        <w:tc>
          <w:tcPr>
            <w:tcW w:w="921" w:type="dxa"/>
            <w:shd w:val="clear" w:color="auto" w:fill="FFFFFF" w:themeFill="background1"/>
            <w:vAlign w:val="center"/>
          </w:tcPr>
          <w:p w14:paraId="17BEE0B1">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73288705">
            <w:pPr>
              <w:widowControl/>
              <w:rPr>
                <w:rFonts w:hAnsi="宋体"/>
                <w:color w:val="auto"/>
                <w:sz w:val="21"/>
                <w:szCs w:val="21"/>
                <w:highlight w:val="none"/>
              </w:rPr>
            </w:pPr>
          </w:p>
        </w:tc>
        <w:tc>
          <w:tcPr>
            <w:tcW w:w="650" w:type="dxa"/>
            <w:vMerge w:val="continue"/>
            <w:shd w:val="clear" w:color="auto" w:fill="FFFFFF" w:themeFill="background1"/>
            <w:vAlign w:val="center"/>
          </w:tcPr>
          <w:p w14:paraId="6BFBE040">
            <w:pPr>
              <w:widowControl/>
              <w:rPr>
                <w:rFonts w:hAnsi="宋体"/>
                <w:color w:val="auto"/>
                <w:sz w:val="21"/>
                <w:szCs w:val="21"/>
                <w:highlight w:val="none"/>
              </w:rPr>
            </w:pPr>
          </w:p>
        </w:tc>
        <w:tc>
          <w:tcPr>
            <w:tcW w:w="709" w:type="dxa"/>
            <w:shd w:val="clear" w:color="auto" w:fill="FFFFFF" w:themeFill="background1"/>
            <w:vAlign w:val="center"/>
          </w:tcPr>
          <w:p w14:paraId="7CC7049D">
            <w:pPr>
              <w:widowControl/>
              <w:jc w:val="center"/>
              <w:rPr>
                <w:rFonts w:hAnsi="宋体"/>
                <w:color w:val="auto"/>
                <w:sz w:val="21"/>
                <w:szCs w:val="21"/>
                <w:highlight w:val="none"/>
              </w:rPr>
            </w:pPr>
            <w:r>
              <w:rPr>
                <w:rFonts w:hint="eastAsia" w:hAnsi="宋体"/>
                <w:color w:val="auto"/>
                <w:sz w:val="21"/>
                <w:szCs w:val="21"/>
                <w:highlight w:val="none"/>
              </w:rPr>
              <w:t>1</w:t>
            </w:r>
          </w:p>
        </w:tc>
        <w:tc>
          <w:tcPr>
            <w:tcW w:w="1933" w:type="dxa"/>
            <w:shd w:val="clear" w:color="auto" w:fill="FFFFFF" w:themeFill="background1"/>
            <w:vAlign w:val="center"/>
          </w:tcPr>
          <w:p w14:paraId="04F1D3D3">
            <w:pPr>
              <w:widowControl/>
              <w:jc w:val="center"/>
              <w:rPr>
                <w:rFonts w:hAnsi="宋体"/>
                <w:color w:val="auto"/>
                <w:sz w:val="21"/>
                <w:szCs w:val="21"/>
                <w:highlight w:val="none"/>
              </w:rPr>
            </w:pPr>
            <w:r>
              <w:rPr>
                <w:rFonts w:hint="eastAsia" w:hAnsi="宋体"/>
                <w:color w:val="auto"/>
                <w:sz w:val="21"/>
                <w:szCs w:val="21"/>
                <w:highlight w:val="none"/>
              </w:rPr>
              <w:t>年累计赔偿限额不低于300万</w:t>
            </w:r>
          </w:p>
        </w:tc>
      </w:tr>
    </w:tbl>
    <w:p w14:paraId="6D5690D8">
      <w:pPr>
        <w:snapToGrid w:val="0"/>
        <w:spacing w:line="360" w:lineRule="auto"/>
        <w:ind w:firstLine="482"/>
        <w:rPr>
          <w:rFonts w:hAnsi="宋体"/>
          <w:b/>
          <w:bCs/>
          <w:color w:val="auto"/>
          <w:sz w:val="24"/>
          <w:szCs w:val="24"/>
          <w:highlight w:val="none"/>
        </w:rPr>
      </w:pPr>
      <w:r>
        <w:rPr>
          <w:rFonts w:hint="eastAsia" w:hAnsi="宋体"/>
          <w:b/>
          <w:bCs/>
          <w:color w:val="auto"/>
          <w:sz w:val="24"/>
          <w:szCs w:val="24"/>
          <w:highlight w:val="none"/>
        </w:rPr>
        <w:t>四、采购人提供的车辆、设备、场地</w:t>
      </w:r>
    </w:p>
    <w:p w14:paraId="3B33B2D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（一）甲供车辆</w:t>
      </w:r>
    </w:p>
    <w:p w14:paraId="00F986CF">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采购人向中标人提供以下车辆以供作业使用，同时提供清单所列车辆的油料、保险（2027年2月1日起提供），采购人承担费用40.1万元（具体车辆的相关保险、部分维修、油料等费用以财政预算标准按实支付）。</w:t>
      </w:r>
    </w:p>
    <w:tbl>
      <w:tblPr>
        <w:tblStyle w:val="433"/>
        <w:tblW w:w="93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4"/>
        <w:gridCol w:w="6237"/>
      </w:tblGrid>
      <w:tr w14:paraId="6B6C0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61B1D339">
            <w:pPr>
              <w:spacing w:line="360" w:lineRule="auto"/>
              <w:jc w:val="center"/>
              <w:rPr>
                <w:rFonts w:hAnsi="宋体" w:eastAsia="Times New Roman"/>
                <w:b/>
                <w:bCs/>
                <w:color w:val="auto"/>
                <w:sz w:val="24"/>
                <w:szCs w:val="21"/>
                <w:highlight w:val="none"/>
                <w:lang w:eastAsia="en-US"/>
              </w:rPr>
            </w:pPr>
            <w:r>
              <w:rPr>
                <w:rFonts w:hint="eastAsia" w:hAnsi="宋体" w:eastAsia="Times New Roman"/>
                <w:b/>
                <w:bCs/>
                <w:color w:val="auto"/>
                <w:spacing w:val="-5"/>
                <w:sz w:val="24"/>
                <w:szCs w:val="21"/>
                <w:highlight w:val="none"/>
                <w:lang w:eastAsia="en-US"/>
              </w:rPr>
              <w:t>作业内容/岗位</w:t>
            </w:r>
          </w:p>
        </w:tc>
        <w:tc>
          <w:tcPr>
            <w:tcW w:w="6237" w:type="dxa"/>
            <w:tcBorders>
              <w:top w:val="single" w:color="000000" w:sz="4" w:space="0"/>
              <w:left w:val="single" w:color="000000" w:sz="4" w:space="0"/>
              <w:bottom w:val="single" w:color="000000" w:sz="4" w:space="0"/>
              <w:right w:val="single" w:color="000000" w:sz="4" w:space="0"/>
            </w:tcBorders>
            <w:vAlign w:val="center"/>
          </w:tcPr>
          <w:p w14:paraId="490A6C01">
            <w:pPr>
              <w:spacing w:line="360" w:lineRule="auto"/>
              <w:jc w:val="center"/>
              <w:rPr>
                <w:rFonts w:hAnsi="宋体" w:eastAsia="Times New Roman"/>
                <w:b/>
                <w:bCs/>
                <w:color w:val="auto"/>
                <w:sz w:val="24"/>
                <w:szCs w:val="21"/>
                <w:highlight w:val="none"/>
                <w:lang w:eastAsia="en-US"/>
              </w:rPr>
            </w:pPr>
            <w:r>
              <w:rPr>
                <w:rFonts w:hint="eastAsia" w:hAnsi="宋体" w:eastAsia="Times New Roman"/>
                <w:b/>
                <w:bCs/>
                <w:color w:val="auto"/>
                <w:sz w:val="24"/>
                <w:szCs w:val="21"/>
                <w:highlight w:val="none"/>
                <w:lang w:eastAsia="en-US"/>
              </w:rPr>
              <w:t>甲供车辆</w:t>
            </w:r>
          </w:p>
        </w:tc>
      </w:tr>
      <w:tr w14:paraId="50C9E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01CF9598">
            <w:pPr>
              <w:spacing w:line="360" w:lineRule="auto"/>
              <w:ind w:right="174"/>
              <w:jc w:val="center"/>
              <w:rPr>
                <w:rFonts w:hAnsi="宋体" w:eastAsia="Times New Roman"/>
                <w:color w:val="auto"/>
                <w:sz w:val="24"/>
                <w:szCs w:val="21"/>
                <w:highlight w:val="none"/>
                <w:lang w:eastAsia="en-US"/>
              </w:rPr>
            </w:pPr>
            <w:r>
              <w:rPr>
                <w:rFonts w:hint="eastAsia" w:hAnsi="宋体" w:eastAsia="Times New Roman"/>
                <w:color w:val="auto"/>
                <w:spacing w:val="2"/>
                <w:sz w:val="24"/>
                <w:szCs w:val="21"/>
                <w:highlight w:val="none"/>
                <w:lang w:eastAsia="en-US"/>
              </w:rPr>
              <w:t xml:space="preserve"> 机械化清扫</w:t>
            </w:r>
          </w:p>
        </w:tc>
        <w:tc>
          <w:tcPr>
            <w:tcW w:w="6237" w:type="dxa"/>
            <w:tcBorders>
              <w:top w:val="single" w:color="000000" w:sz="4" w:space="0"/>
              <w:left w:val="single" w:color="000000" w:sz="4" w:space="0"/>
              <w:bottom w:val="nil"/>
              <w:right w:val="single" w:color="000000" w:sz="4" w:space="0"/>
            </w:tcBorders>
            <w:vAlign w:val="center"/>
          </w:tcPr>
          <w:p w14:paraId="19BA93DB">
            <w:pPr>
              <w:spacing w:line="360" w:lineRule="auto"/>
              <w:ind w:left="220" w:leftChars="100" w:right="182"/>
              <w:jc w:val="both"/>
              <w:rPr>
                <w:rFonts w:hAnsi="宋体" w:eastAsia="Times New Roman"/>
                <w:color w:val="auto"/>
                <w:sz w:val="24"/>
                <w:szCs w:val="21"/>
                <w:highlight w:val="none"/>
                <w:lang w:eastAsia="zh-CN"/>
              </w:rPr>
            </w:pPr>
            <w:r>
              <w:rPr>
                <w:rFonts w:hint="eastAsia" w:hAnsi="宋体" w:eastAsia="Times New Roman"/>
                <w:color w:val="auto"/>
                <w:spacing w:val="1"/>
                <w:sz w:val="24"/>
                <w:szCs w:val="21"/>
                <w:highlight w:val="none"/>
                <w:lang w:eastAsia="zh-CN"/>
              </w:rPr>
              <w:t>9台8T洗扫车、2台8T清扫车、2台4T清扫车、4台3T清扫车</w:t>
            </w:r>
          </w:p>
        </w:tc>
      </w:tr>
      <w:tr w14:paraId="2B74C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2F3BD5ED">
            <w:pPr>
              <w:spacing w:line="360" w:lineRule="auto"/>
              <w:ind w:right="174"/>
              <w:jc w:val="center"/>
              <w:rPr>
                <w:rFonts w:hAnsi="宋体" w:eastAsia="Times New Roman"/>
                <w:color w:val="auto"/>
                <w:sz w:val="24"/>
                <w:szCs w:val="21"/>
                <w:highlight w:val="none"/>
                <w:lang w:eastAsia="zh-CN"/>
              </w:rPr>
            </w:pPr>
            <w:r>
              <w:rPr>
                <w:rFonts w:hint="eastAsia" w:hAnsi="宋体" w:eastAsia="Times New Roman"/>
                <w:color w:val="auto"/>
                <w:spacing w:val="3"/>
                <w:sz w:val="24"/>
                <w:szCs w:val="21"/>
                <w:highlight w:val="none"/>
                <w:lang w:eastAsia="zh-CN"/>
              </w:rPr>
              <w:t>路面</w:t>
            </w:r>
            <w:r>
              <w:rPr>
                <w:rFonts w:hint="eastAsia" w:hAnsi="宋体" w:eastAsia="Times New Roman"/>
                <w:color w:val="auto"/>
                <w:spacing w:val="2"/>
                <w:sz w:val="24"/>
                <w:szCs w:val="21"/>
                <w:highlight w:val="none"/>
                <w:lang w:eastAsia="zh-CN"/>
              </w:rPr>
              <w:t>冲洗洒水、防护栏清洗</w:t>
            </w:r>
          </w:p>
        </w:tc>
        <w:tc>
          <w:tcPr>
            <w:tcW w:w="6237" w:type="dxa"/>
            <w:tcBorders>
              <w:top w:val="single" w:color="000000" w:sz="4" w:space="0"/>
              <w:left w:val="single" w:color="000000" w:sz="4" w:space="0"/>
              <w:bottom w:val="single" w:color="000000" w:sz="4" w:space="0"/>
              <w:right w:val="single" w:color="000000" w:sz="4" w:space="0"/>
            </w:tcBorders>
            <w:vAlign w:val="center"/>
          </w:tcPr>
          <w:p w14:paraId="3B51E2C3">
            <w:pPr>
              <w:spacing w:line="360" w:lineRule="auto"/>
              <w:ind w:left="220" w:leftChars="100" w:right="182"/>
              <w:jc w:val="both"/>
              <w:rPr>
                <w:rFonts w:hAnsi="宋体" w:eastAsia="Times New Roman"/>
                <w:color w:val="auto"/>
                <w:sz w:val="24"/>
                <w:szCs w:val="21"/>
                <w:highlight w:val="none"/>
                <w:lang w:eastAsia="zh-CN"/>
              </w:rPr>
            </w:pPr>
            <w:r>
              <w:rPr>
                <w:rFonts w:hint="eastAsia" w:hAnsi="宋体" w:eastAsia="Times New Roman"/>
                <w:color w:val="auto"/>
                <w:spacing w:val="1"/>
                <w:sz w:val="24"/>
                <w:szCs w:val="21"/>
                <w:highlight w:val="none"/>
                <w:lang w:eastAsia="zh-CN"/>
              </w:rPr>
              <w:t>1台8吨冲洗车（新能源）、1台护栏清洗车、1台3T防撞车</w:t>
            </w:r>
          </w:p>
        </w:tc>
      </w:tr>
      <w:tr w14:paraId="7AB88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7D6A2804">
            <w:pPr>
              <w:spacing w:line="360" w:lineRule="auto"/>
              <w:ind w:right="174"/>
              <w:jc w:val="center"/>
              <w:rPr>
                <w:rFonts w:hAnsi="宋体" w:eastAsia="Times New Roman"/>
                <w:color w:val="auto"/>
                <w:spacing w:val="2"/>
                <w:sz w:val="24"/>
                <w:szCs w:val="21"/>
                <w:highlight w:val="none"/>
                <w:lang w:eastAsia="zh-CN"/>
              </w:rPr>
            </w:pPr>
            <w:r>
              <w:rPr>
                <w:rFonts w:hint="eastAsia" w:hAnsi="宋体" w:eastAsia="Times New Roman"/>
                <w:color w:val="auto"/>
                <w:spacing w:val="2"/>
                <w:sz w:val="24"/>
                <w:szCs w:val="21"/>
                <w:highlight w:val="none"/>
                <w:lang w:eastAsia="zh-CN"/>
              </w:rPr>
              <w:t>垃圾分捡、日常综合养护</w:t>
            </w:r>
          </w:p>
        </w:tc>
        <w:tc>
          <w:tcPr>
            <w:tcW w:w="6237" w:type="dxa"/>
            <w:tcBorders>
              <w:top w:val="single" w:color="000000" w:sz="4" w:space="0"/>
              <w:left w:val="single" w:color="000000" w:sz="4" w:space="0"/>
              <w:bottom w:val="single" w:color="000000" w:sz="4" w:space="0"/>
              <w:right w:val="single" w:color="000000" w:sz="4" w:space="0"/>
            </w:tcBorders>
            <w:vAlign w:val="center"/>
          </w:tcPr>
          <w:p w14:paraId="2A2EA000">
            <w:pPr>
              <w:spacing w:line="360" w:lineRule="auto"/>
              <w:ind w:left="220" w:leftChars="100" w:right="182"/>
              <w:jc w:val="both"/>
              <w:rPr>
                <w:rFonts w:hAnsi="宋体" w:eastAsia="Times New Roman"/>
                <w:color w:val="auto"/>
                <w:spacing w:val="1"/>
                <w:sz w:val="24"/>
                <w:szCs w:val="21"/>
                <w:highlight w:val="none"/>
                <w:lang w:eastAsia="zh-CN"/>
              </w:rPr>
            </w:pPr>
            <w:r>
              <w:rPr>
                <w:rFonts w:hint="eastAsia" w:hAnsi="宋体" w:eastAsia="Times New Roman"/>
                <w:color w:val="auto"/>
                <w:spacing w:val="1"/>
                <w:sz w:val="24"/>
                <w:szCs w:val="21"/>
                <w:highlight w:val="none"/>
                <w:lang w:eastAsia="zh-CN"/>
              </w:rPr>
              <w:t>1台路面养护车、1台5T防撞车、1台3.5T双排座</w:t>
            </w:r>
          </w:p>
        </w:tc>
      </w:tr>
      <w:tr w14:paraId="726D9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0B2DA70B">
            <w:pPr>
              <w:spacing w:line="360" w:lineRule="auto"/>
              <w:ind w:right="174"/>
              <w:jc w:val="center"/>
              <w:rPr>
                <w:rFonts w:hAnsi="宋体" w:eastAsia="Times New Roman"/>
                <w:color w:val="auto"/>
                <w:spacing w:val="2"/>
                <w:sz w:val="24"/>
                <w:szCs w:val="21"/>
                <w:highlight w:val="none"/>
                <w:lang w:eastAsia="en-US"/>
              </w:rPr>
            </w:pPr>
            <w:r>
              <w:rPr>
                <w:rFonts w:hint="eastAsia" w:hAnsi="宋体" w:eastAsia="Times New Roman"/>
                <w:color w:val="auto"/>
                <w:spacing w:val="2"/>
                <w:sz w:val="24"/>
                <w:szCs w:val="21"/>
                <w:highlight w:val="none"/>
                <w:lang w:eastAsia="en-US"/>
              </w:rPr>
              <w:t>应急处置</w:t>
            </w:r>
          </w:p>
        </w:tc>
        <w:tc>
          <w:tcPr>
            <w:tcW w:w="6237" w:type="dxa"/>
            <w:tcBorders>
              <w:top w:val="single" w:color="000000" w:sz="4" w:space="0"/>
              <w:left w:val="single" w:color="000000" w:sz="4" w:space="0"/>
              <w:bottom w:val="single" w:color="000000" w:sz="4" w:space="0"/>
              <w:right w:val="single" w:color="000000" w:sz="4" w:space="0"/>
            </w:tcBorders>
            <w:vAlign w:val="center"/>
          </w:tcPr>
          <w:p w14:paraId="1B475905">
            <w:pPr>
              <w:spacing w:line="360" w:lineRule="auto"/>
              <w:ind w:left="220" w:leftChars="100" w:right="182"/>
              <w:jc w:val="both"/>
              <w:rPr>
                <w:rFonts w:hAnsi="宋体" w:eastAsia="Times New Roman"/>
                <w:color w:val="auto"/>
                <w:spacing w:val="1"/>
                <w:sz w:val="24"/>
                <w:szCs w:val="21"/>
                <w:highlight w:val="none"/>
                <w:lang w:eastAsia="zh-CN"/>
              </w:rPr>
            </w:pPr>
            <w:r>
              <w:rPr>
                <w:rFonts w:hint="eastAsia" w:hAnsi="宋体" w:eastAsia="Times New Roman"/>
                <w:color w:val="auto"/>
                <w:spacing w:val="1"/>
                <w:sz w:val="24"/>
                <w:szCs w:val="21"/>
                <w:highlight w:val="none"/>
                <w:lang w:eastAsia="zh-CN"/>
              </w:rPr>
              <w:t>1台龙吸水、1台融雪除冰车、1台自卸车、1台随车吊</w:t>
            </w:r>
          </w:p>
        </w:tc>
      </w:tr>
      <w:tr w14:paraId="12C11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3094" w:type="dxa"/>
            <w:tcBorders>
              <w:top w:val="single" w:color="000000" w:sz="4" w:space="0"/>
              <w:left w:val="single" w:color="000000" w:sz="4" w:space="0"/>
              <w:bottom w:val="single" w:color="000000" w:sz="4" w:space="0"/>
              <w:right w:val="single" w:color="000000" w:sz="4" w:space="0"/>
            </w:tcBorders>
            <w:vAlign w:val="center"/>
          </w:tcPr>
          <w:p w14:paraId="29367E88">
            <w:pPr>
              <w:spacing w:line="360" w:lineRule="auto"/>
              <w:ind w:right="174"/>
              <w:jc w:val="center"/>
              <w:rPr>
                <w:rFonts w:hAnsi="宋体" w:eastAsia="Times New Roman"/>
                <w:color w:val="auto"/>
                <w:spacing w:val="2"/>
                <w:sz w:val="24"/>
                <w:szCs w:val="21"/>
                <w:highlight w:val="none"/>
                <w:lang w:eastAsia="en-US"/>
              </w:rPr>
            </w:pPr>
            <w:r>
              <w:rPr>
                <w:rFonts w:hint="eastAsia" w:hAnsi="宋体" w:eastAsia="Times New Roman"/>
                <w:color w:val="auto"/>
                <w:spacing w:val="2"/>
                <w:sz w:val="24"/>
                <w:szCs w:val="21"/>
                <w:highlight w:val="none"/>
                <w:lang w:eastAsia="en-US"/>
              </w:rPr>
              <w:t>合计</w:t>
            </w:r>
          </w:p>
        </w:tc>
        <w:tc>
          <w:tcPr>
            <w:tcW w:w="6237" w:type="dxa"/>
            <w:tcBorders>
              <w:top w:val="single" w:color="000000" w:sz="4" w:space="0"/>
              <w:left w:val="single" w:color="000000" w:sz="4" w:space="0"/>
              <w:bottom w:val="single" w:color="000000" w:sz="4" w:space="0"/>
              <w:right w:val="single" w:color="000000" w:sz="4" w:space="0"/>
            </w:tcBorders>
            <w:vAlign w:val="center"/>
          </w:tcPr>
          <w:p w14:paraId="74E2FA8A">
            <w:pPr>
              <w:spacing w:line="360" w:lineRule="auto"/>
              <w:ind w:right="182"/>
              <w:jc w:val="center"/>
              <w:rPr>
                <w:rFonts w:hAnsi="宋体" w:eastAsia="Times New Roman"/>
                <w:color w:val="auto"/>
                <w:spacing w:val="1"/>
                <w:sz w:val="24"/>
                <w:szCs w:val="21"/>
                <w:highlight w:val="none"/>
                <w:lang w:eastAsia="en-US"/>
              </w:rPr>
            </w:pPr>
            <w:r>
              <w:rPr>
                <w:rFonts w:hint="eastAsia" w:hAnsi="宋体" w:eastAsia="Times New Roman"/>
                <w:color w:val="auto"/>
                <w:spacing w:val="1"/>
                <w:sz w:val="24"/>
                <w:szCs w:val="21"/>
                <w:highlight w:val="none"/>
                <w:lang w:eastAsia="en-US"/>
              </w:rPr>
              <w:t>27台</w:t>
            </w:r>
          </w:p>
        </w:tc>
      </w:tr>
    </w:tbl>
    <w:p w14:paraId="02D84AEA">
      <w:pPr>
        <w:spacing w:line="360" w:lineRule="auto"/>
        <w:ind w:firstLine="482"/>
        <w:rPr>
          <w:rFonts w:hAnsi="宋体"/>
          <w:color w:val="auto"/>
          <w:sz w:val="24"/>
          <w:szCs w:val="24"/>
          <w:highlight w:val="none"/>
        </w:rPr>
      </w:pPr>
      <w:r>
        <w:rPr>
          <w:rFonts w:hint="eastAsia" w:hAnsi="宋体"/>
          <w:color w:val="auto"/>
          <w:sz w:val="24"/>
          <w:szCs w:val="24"/>
          <w:highlight w:val="none"/>
        </w:rPr>
        <w:t>注：如有新增车辆</w:t>
      </w:r>
      <w:r>
        <w:rPr>
          <w:rFonts w:hint="eastAsia" w:hAnsi="宋体" w:cs="Times New Roman"/>
          <w:bCs/>
          <w:color w:val="auto"/>
          <w:sz w:val="24"/>
          <w:szCs w:val="24"/>
          <w:highlight w:val="none"/>
        </w:rPr>
        <w:t>，相关保险、部分维修、油料等费用</w:t>
      </w:r>
      <w:r>
        <w:rPr>
          <w:rFonts w:hint="eastAsia" w:hAnsi="宋体"/>
          <w:color w:val="auto"/>
          <w:sz w:val="24"/>
          <w:szCs w:val="24"/>
          <w:highlight w:val="none"/>
        </w:rPr>
        <w:t>以财政实际支付为准。</w:t>
      </w:r>
    </w:p>
    <w:p w14:paraId="304E0B51">
      <w:pPr>
        <w:spacing w:line="360" w:lineRule="auto"/>
        <w:ind w:firstLine="482"/>
        <w:rPr>
          <w:rFonts w:hAnsi="宋体"/>
          <w:color w:val="auto"/>
          <w:sz w:val="24"/>
          <w:szCs w:val="24"/>
          <w:highlight w:val="none"/>
        </w:rPr>
      </w:pPr>
      <w:r>
        <w:rPr>
          <w:rFonts w:hint="eastAsia" w:hAnsi="宋体"/>
          <w:color w:val="auto"/>
          <w:sz w:val="24"/>
          <w:szCs w:val="24"/>
          <w:highlight w:val="none"/>
        </w:rPr>
        <w:t>（二）公路养护应急基地</w:t>
      </w:r>
    </w:p>
    <w:p w14:paraId="384639E9">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1、采购人提供一处公路养护应急基地（2027年2月1日起提供，安保、保洁服务由采购人负责安排并承担相应费用）供中标人使用。</w:t>
      </w:r>
    </w:p>
    <w:p w14:paraId="4533D80E">
      <w:pPr>
        <w:spacing w:line="360" w:lineRule="auto"/>
        <w:ind w:firstLine="482"/>
        <w:rPr>
          <w:rFonts w:hAnsi="宋体" w:cs="Times New Roman"/>
          <w:bCs/>
          <w:color w:val="auto"/>
          <w:sz w:val="24"/>
          <w:szCs w:val="24"/>
          <w:highlight w:val="none"/>
          <w:u w:val="single"/>
        </w:rPr>
      </w:pPr>
      <w:r>
        <w:rPr>
          <w:rFonts w:hint="eastAsia" w:hAnsi="宋体" w:cs="Times New Roman"/>
          <w:bCs/>
          <w:color w:val="auto"/>
          <w:sz w:val="24"/>
          <w:szCs w:val="24"/>
          <w:highlight w:val="none"/>
        </w:rPr>
        <w:t>2、中标人负责基地内水电网络、零星维修等；基地位于太仓市郭家泾桥北1</w:t>
      </w:r>
      <w:r>
        <w:rPr>
          <w:rFonts w:hAnsi="宋体" w:cs="Times New Roman"/>
          <w:bCs/>
          <w:color w:val="auto"/>
          <w:sz w:val="24"/>
          <w:szCs w:val="24"/>
          <w:highlight w:val="none"/>
        </w:rPr>
        <w:t>00</w:t>
      </w:r>
      <w:r>
        <w:rPr>
          <w:rFonts w:hint="eastAsia" w:hAnsi="宋体" w:cs="Times New Roman"/>
          <w:bCs/>
          <w:color w:val="auto"/>
          <w:sz w:val="24"/>
          <w:szCs w:val="24"/>
          <w:highlight w:val="none"/>
        </w:rPr>
        <w:t>米。基本情况如下：</w:t>
      </w:r>
      <w:r>
        <w:rPr>
          <w:rFonts w:hint="eastAsia" w:hAnsi="宋体" w:cs="Times New Roman"/>
          <w:bCs/>
          <w:color w:val="auto"/>
          <w:sz w:val="24"/>
          <w:szCs w:val="24"/>
          <w:highlight w:val="none"/>
          <w:u w:val="single"/>
        </w:rPr>
        <w:t>太仓工区占地11亩，建筑面积2171平方米，内设办工区、生活区、机械设备物资仓储区、料场等区域；场地露天停车位共有32个，其中大型停车位6个，小型停车位26个；场地停车库共有17个，其中大型停车库11个，小型停车库6个。</w:t>
      </w:r>
    </w:p>
    <w:p w14:paraId="48D7BB08">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3</w:t>
      </w:r>
      <w:r>
        <w:rPr>
          <w:rFonts w:hint="eastAsia" w:hAnsi="宋体" w:cs="Times New Roman"/>
          <w:bCs/>
          <w:color w:val="auto"/>
          <w:sz w:val="24"/>
          <w:szCs w:val="24"/>
          <w:highlight w:val="none"/>
        </w:rPr>
        <w:t>、</w:t>
      </w:r>
      <w:r>
        <w:rPr>
          <w:rFonts w:hAnsi="宋体" w:cs="Times New Roman"/>
          <w:bCs/>
          <w:color w:val="auto"/>
          <w:sz w:val="24"/>
          <w:szCs w:val="24"/>
          <w:highlight w:val="none"/>
        </w:rPr>
        <w:t>公路养护应急基地</w:t>
      </w:r>
      <w:r>
        <w:rPr>
          <w:rFonts w:hint="eastAsia" w:hAnsi="宋体" w:cs="Times New Roman"/>
          <w:bCs/>
          <w:color w:val="auto"/>
          <w:sz w:val="24"/>
          <w:szCs w:val="24"/>
          <w:highlight w:val="none"/>
        </w:rPr>
        <w:t>中相关设备交付供应商使用（2027年2月1日起提供），由供应商负责日常维保、耗材及其他相关费用。基地内有污水处理及光伏发电等设备，由中标人负责运维。</w:t>
      </w:r>
    </w:p>
    <w:p w14:paraId="0F55DD2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4</w:t>
      </w:r>
      <w:r>
        <w:rPr>
          <w:rFonts w:hint="eastAsia" w:hAnsi="宋体" w:cs="Times New Roman"/>
          <w:bCs/>
          <w:color w:val="auto"/>
          <w:sz w:val="24"/>
          <w:szCs w:val="24"/>
          <w:highlight w:val="none"/>
        </w:rPr>
        <w:t>、基地内耗材：采购人提供润滑黄油、车辆扫刷等耗材（2027年2月1日起提供），合计费用33万元。</w:t>
      </w:r>
    </w:p>
    <w:p w14:paraId="00F3F135">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5</w:t>
      </w:r>
      <w:r>
        <w:rPr>
          <w:rFonts w:hint="eastAsia" w:hAnsi="宋体" w:cs="Times New Roman"/>
          <w:bCs/>
          <w:color w:val="auto"/>
          <w:sz w:val="24"/>
          <w:szCs w:val="24"/>
          <w:highlight w:val="none"/>
        </w:rPr>
        <w:t>、采购人提供智慧工区系统移交给中标人使用，移交后该系统的网络、维修保养以及车辆配套监控的维修由中标人承担。</w:t>
      </w:r>
    </w:p>
    <w:p w14:paraId="61883830">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（三）甲供设备</w:t>
      </w:r>
    </w:p>
    <w:tbl>
      <w:tblPr>
        <w:tblStyle w:val="42"/>
        <w:tblW w:w="10452" w:type="dxa"/>
        <w:jc w:val="center"/>
        <w:tblLayout w:type="fixed"/>
        <w:tblCellMar>
          <w:top w:w="0" w:type="dxa"/>
          <w:left w:w="108" w:type="dxa"/>
          <w:bottom w:w="0" w:type="dxa"/>
          <w:right w:w="108" w:type="dxa"/>
        </w:tblCellMar>
      </w:tblPr>
      <w:tblGrid>
        <w:gridCol w:w="455"/>
        <w:gridCol w:w="958"/>
        <w:gridCol w:w="1276"/>
        <w:gridCol w:w="1347"/>
        <w:gridCol w:w="1239"/>
        <w:gridCol w:w="532"/>
        <w:gridCol w:w="1266"/>
        <w:gridCol w:w="1143"/>
        <w:gridCol w:w="1424"/>
        <w:gridCol w:w="812"/>
      </w:tblGrid>
      <w:tr w14:paraId="3EC600FA">
        <w:tblPrEx>
          <w:tblCellMar>
            <w:top w:w="0" w:type="dxa"/>
            <w:left w:w="108" w:type="dxa"/>
            <w:bottom w:w="0" w:type="dxa"/>
            <w:right w:w="108" w:type="dxa"/>
          </w:tblCellMar>
        </w:tblPrEx>
        <w:trPr>
          <w:jc w:val="center"/>
        </w:trPr>
        <w:tc>
          <w:tcPr>
            <w:tcW w:w="455" w:type="dxa"/>
            <w:tcBorders>
              <w:top w:val="single" w:color="auto" w:sz="4" w:space="0"/>
              <w:left w:val="single" w:color="auto" w:sz="4" w:space="0"/>
              <w:bottom w:val="single" w:color="auto" w:sz="4" w:space="0"/>
              <w:right w:val="single" w:color="auto" w:sz="4" w:space="0"/>
            </w:tcBorders>
            <w:vAlign w:val="center"/>
          </w:tcPr>
          <w:p w14:paraId="001113F9">
            <w:pPr>
              <w:widowControl/>
              <w:jc w:val="center"/>
              <w:rPr>
                <w:rFonts w:hAnsi="宋体"/>
                <w:b/>
                <w:bCs/>
                <w:color w:val="auto"/>
                <w:sz w:val="21"/>
                <w:szCs w:val="21"/>
                <w:highlight w:val="none"/>
              </w:rPr>
            </w:pPr>
            <w:r>
              <w:rPr>
                <w:rFonts w:hAnsi="宋体"/>
                <w:b/>
                <w:bCs/>
                <w:color w:val="auto"/>
                <w:sz w:val="21"/>
                <w:szCs w:val="21"/>
                <w:highlight w:val="none"/>
              </w:rPr>
              <w:t>序号</w:t>
            </w:r>
          </w:p>
        </w:tc>
        <w:tc>
          <w:tcPr>
            <w:tcW w:w="958" w:type="dxa"/>
            <w:tcBorders>
              <w:top w:val="single" w:color="auto" w:sz="4" w:space="0"/>
              <w:left w:val="nil"/>
              <w:bottom w:val="single" w:color="auto" w:sz="4" w:space="0"/>
              <w:right w:val="single" w:color="auto" w:sz="4" w:space="0"/>
            </w:tcBorders>
            <w:vAlign w:val="center"/>
          </w:tcPr>
          <w:p w14:paraId="13965C16">
            <w:pPr>
              <w:widowControl/>
              <w:jc w:val="center"/>
              <w:rPr>
                <w:rFonts w:hAnsi="宋体"/>
                <w:b/>
                <w:bCs/>
                <w:color w:val="auto"/>
                <w:sz w:val="21"/>
                <w:szCs w:val="21"/>
                <w:highlight w:val="none"/>
              </w:rPr>
            </w:pPr>
            <w:r>
              <w:rPr>
                <w:rFonts w:hAnsi="宋体"/>
                <w:b/>
                <w:bCs/>
                <w:color w:val="auto"/>
                <w:sz w:val="21"/>
                <w:szCs w:val="21"/>
                <w:highlight w:val="none"/>
              </w:rPr>
              <w:t>设备分类</w:t>
            </w:r>
          </w:p>
        </w:tc>
        <w:tc>
          <w:tcPr>
            <w:tcW w:w="1276" w:type="dxa"/>
            <w:tcBorders>
              <w:top w:val="single" w:color="auto" w:sz="4" w:space="0"/>
              <w:left w:val="nil"/>
              <w:bottom w:val="single" w:color="auto" w:sz="4" w:space="0"/>
              <w:right w:val="single" w:color="auto" w:sz="4" w:space="0"/>
            </w:tcBorders>
            <w:vAlign w:val="center"/>
          </w:tcPr>
          <w:p w14:paraId="1E65AE4C">
            <w:pPr>
              <w:widowControl/>
              <w:jc w:val="center"/>
              <w:rPr>
                <w:rFonts w:hAnsi="宋体"/>
                <w:b/>
                <w:bCs/>
                <w:color w:val="auto"/>
                <w:sz w:val="21"/>
                <w:szCs w:val="21"/>
                <w:highlight w:val="none"/>
              </w:rPr>
            </w:pPr>
            <w:r>
              <w:rPr>
                <w:rFonts w:hAnsi="宋体"/>
                <w:b/>
                <w:bCs/>
                <w:color w:val="auto"/>
                <w:sz w:val="21"/>
                <w:szCs w:val="21"/>
                <w:highlight w:val="none"/>
              </w:rPr>
              <w:t>设备名称</w:t>
            </w:r>
          </w:p>
        </w:tc>
        <w:tc>
          <w:tcPr>
            <w:tcW w:w="1347" w:type="dxa"/>
            <w:tcBorders>
              <w:top w:val="single" w:color="auto" w:sz="4" w:space="0"/>
              <w:left w:val="nil"/>
              <w:bottom w:val="single" w:color="auto" w:sz="4" w:space="0"/>
              <w:right w:val="single" w:color="auto" w:sz="4" w:space="0"/>
            </w:tcBorders>
            <w:vAlign w:val="center"/>
          </w:tcPr>
          <w:p w14:paraId="2BEEBEB0">
            <w:pPr>
              <w:widowControl/>
              <w:jc w:val="center"/>
              <w:rPr>
                <w:rFonts w:hAnsi="宋体"/>
                <w:b/>
                <w:bCs/>
                <w:color w:val="auto"/>
                <w:sz w:val="21"/>
                <w:szCs w:val="21"/>
                <w:highlight w:val="none"/>
              </w:rPr>
            </w:pPr>
            <w:r>
              <w:rPr>
                <w:rFonts w:hAnsi="宋体"/>
                <w:b/>
                <w:bCs/>
                <w:color w:val="auto"/>
                <w:sz w:val="21"/>
                <w:szCs w:val="21"/>
                <w:highlight w:val="none"/>
              </w:rPr>
              <w:t>设备编号</w:t>
            </w:r>
          </w:p>
        </w:tc>
        <w:tc>
          <w:tcPr>
            <w:tcW w:w="1239" w:type="dxa"/>
            <w:tcBorders>
              <w:top w:val="single" w:color="auto" w:sz="4" w:space="0"/>
              <w:left w:val="nil"/>
              <w:bottom w:val="single" w:color="auto" w:sz="4" w:space="0"/>
              <w:right w:val="single" w:color="auto" w:sz="4" w:space="0"/>
            </w:tcBorders>
            <w:vAlign w:val="center"/>
          </w:tcPr>
          <w:p w14:paraId="755796BC">
            <w:pPr>
              <w:widowControl/>
              <w:jc w:val="center"/>
              <w:rPr>
                <w:rFonts w:hAnsi="宋体"/>
                <w:b/>
                <w:bCs/>
                <w:color w:val="auto"/>
                <w:sz w:val="21"/>
                <w:szCs w:val="21"/>
                <w:highlight w:val="none"/>
              </w:rPr>
            </w:pPr>
            <w:r>
              <w:rPr>
                <w:rFonts w:hAnsi="宋体"/>
                <w:b/>
                <w:bCs/>
                <w:color w:val="auto"/>
                <w:sz w:val="21"/>
                <w:szCs w:val="21"/>
                <w:highlight w:val="none"/>
              </w:rPr>
              <w:t>主要参数</w:t>
            </w:r>
          </w:p>
        </w:tc>
        <w:tc>
          <w:tcPr>
            <w:tcW w:w="532" w:type="dxa"/>
            <w:tcBorders>
              <w:top w:val="single" w:color="auto" w:sz="4" w:space="0"/>
              <w:left w:val="nil"/>
              <w:bottom w:val="single" w:color="auto" w:sz="4" w:space="0"/>
              <w:right w:val="single" w:color="auto" w:sz="4" w:space="0"/>
            </w:tcBorders>
            <w:vAlign w:val="center"/>
          </w:tcPr>
          <w:p w14:paraId="238B95CD">
            <w:pPr>
              <w:widowControl/>
              <w:jc w:val="center"/>
              <w:rPr>
                <w:rFonts w:hAnsi="宋体"/>
                <w:b/>
                <w:bCs/>
                <w:color w:val="auto"/>
                <w:sz w:val="21"/>
                <w:szCs w:val="21"/>
                <w:highlight w:val="none"/>
              </w:rPr>
            </w:pPr>
            <w:r>
              <w:rPr>
                <w:rFonts w:hAnsi="宋体"/>
                <w:b/>
                <w:bCs/>
                <w:color w:val="auto"/>
                <w:sz w:val="21"/>
                <w:szCs w:val="21"/>
                <w:highlight w:val="none"/>
              </w:rPr>
              <w:t>台</w:t>
            </w:r>
          </w:p>
        </w:tc>
        <w:tc>
          <w:tcPr>
            <w:tcW w:w="1266" w:type="dxa"/>
            <w:tcBorders>
              <w:top w:val="single" w:color="auto" w:sz="4" w:space="0"/>
              <w:left w:val="nil"/>
              <w:bottom w:val="single" w:color="auto" w:sz="4" w:space="0"/>
              <w:right w:val="single" w:color="auto" w:sz="4" w:space="0"/>
            </w:tcBorders>
            <w:vAlign w:val="center"/>
          </w:tcPr>
          <w:p w14:paraId="4AB450AC">
            <w:pPr>
              <w:widowControl/>
              <w:jc w:val="center"/>
              <w:rPr>
                <w:rFonts w:hAnsi="宋体"/>
                <w:b/>
                <w:bCs/>
                <w:color w:val="auto"/>
                <w:sz w:val="21"/>
                <w:szCs w:val="21"/>
                <w:highlight w:val="none"/>
              </w:rPr>
            </w:pPr>
            <w:r>
              <w:rPr>
                <w:rFonts w:hAnsi="宋体"/>
                <w:b/>
                <w:bCs/>
                <w:color w:val="auto"/>
                <w:sz w:val="21"/>
                <w:szCs w:val="21"/>
                <w:highlight w:val="none"/>
              </w:rPr>
              <w:t>型号</w:t>
            </w:r>
          </w:p>
        </w:tc>
        <w:tc>
          <w:tcPr>
            <w:tcW w:w="1143" w:type="dxa"/>
            <w:tcBorders>
              <w:top w:val="single" w:color="auto" w:sz="4" w:space="0"/>
              <w:left w:val="nil"/>
              <w:bottom w:val="single" w:color="auto" w:sz="4" w:space="0"/>
              <w:right w:val="single" w:color="auto" w:sz="4" w:space="0"/>
            </w:tcBorders>
            <w:vAlign w:val="center"/>
          </w:tcPr>
          <w:p w14:paraId="7C29C3B3">
            <w:pPr>
              <w:widowControl/>
              <w:jc w:val="center"/>
              <w:rPr>
                <w:rFonts w:hAnsi="宋体"/>
                <w:b/>
                <w:bCs/>
                <w:color w:val="auto"/>
                <w:sz w:val="21"/>
                <w:szCs w:val="21"/>
                <w:highlight w:val="none"/>
              </w:rPr>
            </w:pPr>
            <w:r>
              <w:rPr>
                <w:rFonts w:hAnsi="宋体"/>
                <w:b/>
                <w:bCs/>
                <w:color w:val="auto"/>
                <w:sz w:val="21"/>
                <w:szCs w:val="21"/>
                <w:highlight w:val="none"/>
              </w:rPr>
              <w:t>生产厂家</w:t>
            </w:r>
          </w:p>
        </w:tc>
        <w:tc>
          <w:tcPr>
            <w:tcW w:w="1424" w:type="dxa"/>
            <w:tcBorders>
              <w:top w:val="single" w:color="auto" w:sz="4" w:space="0"/>
              <w:left w:val="nil"/>
              <w:bottom w:val="single" w:color="auto" w:sz="4" w:space="0"/>
              <w:right w:val="single" w:color="auto" w:sz="4" w:space="0"/>
            </w:tcBorders>
            <w:noWrap/>
            <w:vAlign w:val="center"/>
          </w:tcPr>
          <w:p w14:paraId="1315C89F">
            <w:pPr>
              <w:widowControl/>
              <w:jc w:val="center"/>
              <w:rPr>
                <w:rFonts w:hAnsi="宋体"/>
                <w:b/>
                <w:bCs/>
                <w:color w:val="auto"/>
                <w:sz w:val="21"/>
                <w:szCs w:val="21"/>
                <w:highlight w:val="none"/>
              </w:rPr>
            </w:pPr>
            <w:r>
              <w:rPr>
                <w:rFonts w:hAnsi="宋体"/>
                <w:b/>
                <w:bCs/>
                <w:color w:val="auto"/>
                <w:sz w:val="21"/>
                <w:szCs w:val="21"/>
                <w:highlight w:val="none"/>
              </w:rPr>
              <w:t>购置时间</w:t>
            </w:r>
          </w:p>
        </w:tc>
        <w:tc>
          <w:tcPr>
            <w:tcW w:w="812" w:type="dxa"/>
            <w:tcBorders>
              <w:top w:val="single" w:color="auto" w:sz="4" w:space="0"/>
              <w:left w:val="nil"/>
              <w:bottom w:val="single" w:color="auto" w:sz="4" w:space="0"/>
              <w:right w:val="single" w:color="auto" w:sz="4" w:space="0"/>
            </w:tcBorders>
            <w:vAlign w:val="center"/>
          </w:tcPr>
          <w:p w14:paraId="69017CE9">
            <w:pPr>
              <w:widowControl/>
              <w:jc w:val="center"/>
              <w:rPr>
                <w:rFonts w:hAnsi="宋体"/>
                <w:b/>
                <w:bCs/>
                <w:color w:val="auto"/>
                <w:sz w:val="21"/>
                <w:szCs w:val="21"/>
                <w:highlight w:val="none"/>
              </w:rPr>
            </w:pPr>
            <w:r>
              <w:rPr>
                <w:rFonts w:hAnsi="宋体"/>
                <w:b/>
                <w:bCs/>
                <w:color w:val="auto"/>
                <w:sz w:val="21"/>
                <w:szCs w:val="21"/>
                <w:highlight w:val="none"/>
              </w:rPr>
              <w:t>保养周期（次/年）</w:t>
            </w:r>
          </w:p>
        </w:tc>
      </w:tr>
      <w:tr w14:paraId="2620EF84">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44C52BC7">
            <w:pPr>
              <w:widowControl/>
              <w:jc w:val="center"/>
              <w:rPr>
                <w:rFonts w:hAnsi="宋体"/>
                <w:color w:val="auto"/>
                <w:sz w:val="21"/>
                <w:szCs w:val="21"/>
                <w:highlight w:val="none"/>
              </w:rPr>
            </w:pPr>
            <w:r>
              <w:rPr>
                <w:rFonts w:hAnsi="宋体"/>
                <w:color w:val="auto"/>
                <w:sz w:val="21"/>
                <w:szCs w:val="21"/>
                <w:highlight w:val="none"/>
              </w:rPr>
              <w:t>1</w:t>
            </w:r>
          </w:p>
        </w:tc>
        <w:tc>
          <w:tcPr>
            <w:tcW w:w="958" w:type="dxa"/>
            <w:tcBorders>
              <w:top w:val="nil"/>
              <w:left w:val="nil"/>
              <w:bottom w:val="single" w:color="auto" w:sz="4" w:space="0"/>
              <w:right w:val="single" w:color="auto" w:sz="4" w:space="0"/>
            </w:tcBorders>
            <w:vAlign w:val="center"/>
          </w:tcPr>
          <w:p w14:paraId="4FA19547">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243D2F3A">
            <w:pPr>
              <w:widowControl/>
              <w:jc w:val="center"/>
              <w:rPr>
                <w:rFonts w:hAnsi="宋体"/>
                <w:color w:val="auto"/>
                <w:sz w:val="21"/>
                <w:szCs w:val="21"/>
                <w:highlight w:val="none"/>
              </w:rPr>
            </w:pPr>
            <w:r>
              <w:rPr>
                <w:rFonts w:hAnsi="宋体"/>
                <w:color w:val="auto"/>
                <w:sz w:val="21"/>
                <w:szCs w:val="21"/>
                <w:highlight w:val="none"/>
              </w:rPr>
              <w:t>无人清扫车</w:t>
            </w:r>
          </w:p>
        </w:tc>
        <w:tc>
          <w:tcPr>
            <w:tcW w:w="1347" w:type="dxa"/>
            <w:tcBorders>
              <w:top w:val="nil"/>
              <w:left w:val="nil"/>
              <w:bottom w:val="single" w:color="auto" w:sz="4" w:space="0"/>
              <w:right w:val="single" w:color="auto" w:sz="4" w:space="0"/>
            </w:tcBorders>
            <w:vAlign w:val="center"/>
          </w:tcPr>
          <w:p w14:paraId="24EDF867">
            <w:pPr>
              <w:widowControl/>
              <w:jc w:val="center"/>
              <w:rPr>
                <w:rFonts w:hAnsi="宋体"/>
                <w:color w:val="auto"/>
                <w:sz w:val="21"/>
                <w:szCs w:val="21"/>
                <w:highlight w:val="none"/>
              </w:rPr>
            </w:pPr>
            <w:r>
              <w:rPr>
                <w:rFonts w:hAnsi="宋体"/>
                <w:color w:val="auto"/>
                <w:sz w:val="21"/>
                <w:szCs w:val="21"/>
                <w:highlight w:val="none"/>
              </w:rPr>
              <w:t>太仓应急(060)\31</w:t>
            </w:r>
          </w:p>
        </w:tc>
        <w:tc>
          <w:tcPr>
            <w:tcW w:w="1239" w:type="dxa"/>
            <w:tcBorders>
              <w:top w:val="nil"/>
              <w:left w:val="nil"/>
              <w:bottom w:val="single" w:color="auto" w:sz="4" w:space="0"/>
              <w:right w:val="single" w:color="auto" w:sz="4" w:space="0"/>
            </w:tcBorders>
            <w:vAlign w:val="center"/>
          </w:tcPr>
          <w:p w14:paraId="2DE11045">
            <w:pPr>
              <w:widowControl/>
              <w:jc w:val="center"/>
              <w:rPr>
                <w:rFonts w:hAnsi="宋体"/>
                <w:color w:val="auto"/>
                <w:sz w:val="21"/>
                <w:szCs w:val="21"/>
                <w:highlight w:val="none"/>
              </w:rPr>
            </w:pPr>
            <w:r>
              <w:rPr>
                <w:rFonts w:hAnsi="宋体"/>
                <w:color w:val="auto"/>
                <w:sz w:val="21"/>
                <w:szCs w:val="21"/>
                <w:highlight w:val="none"/>
              </w:rPr>
              <w:t>清扫宽度＞2m</w:t>
            </w:r>
          </w:p>
        </w:tc>
        <w:tc>
          <w:tcPr>
            <w:tcW w:w="532" w:type="dxa"/>
            <w:tcBorders>
              <w:top w:val="nil"/>
              <w:left w:val="nil"/>
              <w:bottom w:val="single" w:color="auto" w:sz="4" w:space="0"/>
              <w:right w:val="single" w:color="auto" w:sz="4" w:space="0"/>
            </w:tcBorders>
            <w:vAlign w:val="center"/>
          </w:tcPr>
          <w:p w14:paraId="59C4DC7A">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14F4581">
            <w:pPr>
              <w:widowControl/>
              <w:jc w:val="center"/>
              <w:rPr>
                <w:rFonts w:hAnsi="宋体"/>
                <w:color w:val="auto"/>
                <w:sz w:val="21"/>
                <w:szCs w:val="21"/>
                <w:highlight w:val="none"/>
              </w:rPr>
            </w:pPr>
            <w:r>
              <w:rPr>
                <w:rFonts w:hAnsi="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22792F1E">
            <w:pPr>
              <w:widowControl/>
              <w:jc w:val="center"/>
              <w:rPr>
                <w:rFonts w:hAnsi="宋体"/>
                <w:color w:val="auto"/>
                <w:sz w:val="21"/>
                <w:szCs w:val="21"/>
                <w:highlight w:val="none"/>
              </w:rPr>
            </w:pPr>
            <w:r>
              <w:rPr>
                <w:rFonts w:hAnsi="宋体"/>
                <w:color w:val="auto"/>
                <w:sz w:val="21"/>
                <w:szCs w:val="21"/>
                <w:highlight w:val="none"/>
              </w:rPr>
              <w:t>上海仙途</w:t>
            </w:r>
          </w:p>
        </w:tc>
        <w:tc>
          <w:tcPr>
            <w:tcW w:w="1424" w:type="dxa"/>
            <w:tcBorders>
              <w:top w:val="nil"/>
              <w:left w:val="nil"/>
              <w:bottom w:val="single" w:color="auto" w:sz="4" w:space="0"/>
              <w:right w:val="single" w:color="auto" w:sz="4" w:space="0"/>
            </w:tcBorders>
            <w:noWrap/>
            <w:vAlign w:val="center"/>
          </w:tcPr>
          <w:p w14:paraId="2A521062">
            <w:pPr>
              <w:widowControl/>
              <w:jc w:val="center"/>
              <w:rPr>
                <w:rFonts w:hAnsi="宋体"/>
                <w:color w:val="auto"/>
                <w:sz w:val="21"/>
                <w:szCs w:val="21"/>
                <w:highlight w:val="none"/>
              </w:rPr>
            </w:pPr>
            <w:r>
              <w:rPr>
                <w:rFonts w:hAnsi="宋体"/>
                <w:color w:val="auto"/>
                <w:sz w:val="21"/>
                <w:szCs w:val="21"/>
                <w:highlight w:val="none"/>
              </w:rPr>
              <w:t>2025年12月</w:t>
            </w:r>
          </w:p>
        </w:tc>
        <w:tc>
          <w:tcPr>
            <w:tcW w:w="812" w:type="dxa"/>
            <w:tcBorders>
              <w:top w:val="nil"/>
              <w:left w:val="nil"/>
              <w:bottom w:val="single" w:color="auto" w:sz="4" w:space="0"/>
              <w:right w:val="single" w:color="auto" w:sz="4" w:space="0"/>
            </w:tcBorders>
            <w:vAlign w:val="center"/>
          </w:tcPr>
          <w:p w14:paraId="776BF78F">
            <w:pPr>
              <w:widowControl/>
              <w:jc w:val="center"/>
              <w:rPr>
                <w:rFonts w:hAnsi="宋体"/>
                <w:color w:val="auto"/>
                <w:sz w:val="21"/>
                <w:szCs w:val="21"/>
                <w:highlight w:val="none"/>
              </w:rPr>
            </w:pPr>
            <w:r>
              <w:rPr>
                <w:rFonts w:hAnsi="宋体"/>
                <w:color w:val="auto"/>
                <w:sz w:val="21"/>
                <w:szCs w:val="21"/>
                <w:highlight w:val="none"/>
              </w:rPr>
              <w:t>5</w:t>
            </w:r>
          </w:p>
        </w:tc>
      </w:tr>
      <w:tr w14:paraId="162862E4">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95737D5">
            <w:pPr>
              <w:widowControl/>
              <w:jc w:val="center"/>
              <w:rPr>
                <w:rFonts w:hAnsi="宋体"/>
                <w:color w:val="auto"/>
                <w:sz w:val="21"/>
                <w:szCs w:val="21"/>
                <w:highlight w:val="none"/>
              </w:rPr>
            </w:pPr>
            <w:r>
              <w:rPr>
                <w:rFonts w:hAnsi="宋体"/>
                <w:color w:val="auto"/>
                <w:sz w:val="21"/>
                <w:szCs w:val="21"/>
                <w:highlight w:val="none"/>
              </w:rPr>
              <w:t>2</w:t>
            </w:r>
          </w:p>
        </w:tc>
        <w:tc>
          <w:tcPr>
            <w:tcW w:w="958" w:type="dxa"/>
            <w:tcBorders>
              <w:top w:val="nil"/>
              <w:left w:val="nil"/>
              <w:bottom w:val="single" w:color="auto" w:sz="4" w:space="0"/>
              <w:right w:val="single" w:color="auto" w:sz="4" w:space="0"/>
            </w:tcBorders>
            <w:vAlign w:val="center"/>
          </w:tcPr>
          <w:p w14:paraId="7C04F3ED">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6675EB4">
            <w:pPr>
              <w:widowControl/>
              <w:jc w:val="center"/>
              <w:rPr>
                <w:rFonts w:hAnsi="宋体"/>
                <w:color w:val="auto"/>
                <w:sz w:val="21"/>
                <w:szCs w:val="21"/>
                <w:highlight w:val="none"/>
              </w:rPr>
            </w:pPr>
            <w:r>
              <w:rPr>
                <w:rFonts w:hAnsi="宋体"/>
                <w:color w:val="auto"/>
                <w:sz w:val="21"/>
                <w:szCs w:val="21"/>
                <w:highlight w:val="none"/>
              </w:rPr>
              <w:t>大型装载机</w:t>
            </w:r>
          </w:p>
        </w:tc>
        <w:tc>
          <w:tcPr>
            <w:tcW w:w="1347" w:type="dxa"/>
            <w:tcBorders>
              <w:top w:val="nil"/>
              <w:left w:val="nil"/>
              <w:bottom w:val="single" w:color="auto" w:sz="4" w:space="0"/>
              <w:right w:val="single" w:color="auto" w:sz="4" w:space="0"/>
            </w:tcBorders>
            <w:noWrap/>
            <w:vAlign w:val="center"/>
          </w:tcPr>
          <w:p w14:paraId="0A4EDE07">
            <w:pPr>
              <w:widowControl/>
              <w:jc w:val="center"/>
              <w:rPr>
                <w:rFonts w:hAnsi="宋体"/>
                <w:color w:val="auto"/>
                <w:sz w:val="21"/>
                <w:szCs w:val="21"/>
                <w:highlight w:val="none"/>
              </w:rPr>
            </w:pPr>
            <w:r>
              <w:rPr>
                <w:rFonts w:hAnsi="宋体"/>
                <w:color w:val="auto"/>
                <w:sz w:val="21"/>
                <w:szCs w:val="21"/>
                <w:highlight w:val="none"/>
              </w:rPr>
              <w:t>2-AEC00360</w:t>
            </w:r>
          </w:p>
        </w:tc>
        <w:tc>
          <w:tcPr>
            <w:tcW w:w="1239" w:type="dxa"/>
            <w:tcBorders>
              <w:top w:val="nil"/>
              <w:left w:val="nil"/>
              <w:bottom w:val="single" w:color="auto" w:sz="4" w:space="0"/>
              <w:right w:val="single" w:color="auto" w:sz="4" w:space="0"/>
            </w:tcBorders>
            <w:vAlign w:val="center"/>
          </w:tcPr>
          <w:p w14:paraId="62AD2226">
            <w:pPr>
              <w:widowControl/>
              <w:jc w:val="center"/>
              <w:rPr>
                <w:rFonts w:hAnsi="宋体"/>
                <w:color w:val="auto"/>
                <w:sz w:val="21"/>
                <w:szCs w:val="21"/>
                <w:highlight w:val="none"/>
              </w:rPr>
            </w:pPr>
            <w:r>
              <w:rPr>
                <w:rFonts w:hAnsi="宋体"/>
                <w:color w:val="auto"/>
                <w:sz w:val="21"/>
                <w:szCs w:val="21"/>
                <w:highlight w:val="none"/>
              </w:rPr>
              <w:t>ZL50</w:t>
            </w:r>
          </w:p>
        </w:tc>
        <w:tc>
          <w:tcPr>
            <w:tcW w:w="532" w:type="dxa"/>
            <w:tcBorders>
              <w:top w:val="nil"/>
              <w:left w:val="nil"/>
              <w:bottom w:val="single" w:color="auto" w:sz="4" w:space="0"/>
              <w:right w:val="single" w:color="auto" w:sz="4" w:space="0"/>
            </w:tcBorders>
            <w:vAlign w:val="center"/>
          </w:tcPr>
          <w:p w14:paraId="13E254D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D5D6558">
            <w:pPr>
              <w:widowControl/>
              <w:jc w:val="center"/>
              <w:rPr>
                <w:rFonts w:hAnsi="宋体"/>
                <w:color w:val="auto"/>
                <w:sz w:val="21"/>
                <w:szCs w:val="21"/>
                <w:highlight w:val="none"/>
              </w:rPr>
            </w:pPr>
            <w:r>
              <w:rPr>
                <w:rFonts w:hAnsi="宋体"/>
                <w:color w:val="auto"/>
                <w:sz w:val="21"/>
                <w:szCs w:val="21"/>
                <w:highlight w:val="none"/>
              </w:rPr>
              <w:t>LCL932</w:t>
            </w:r>
          </w:p>
        </w:tc>
        <w:tc>
          <w:tcPr>
            <w:tcW w:w="1143" w:type="dxa"/>
            <w:tcBorders>
              <w:top w:val="nil"/>
              <w:left w:val="nil"/>
              <w:bottom w:val="single" w:color="auto" w:sz="4" w:space="0"/>
              <w:right w:val="single" w:color="auto" w:sz="4" w:space="0"/>
            </w:tcBorders>
            <w:vAlign w:val="center"/>
          </w:tcPr>
          <w:p w14:paraId="5B1D3402">
            <w:pPr>
              <w:widowControl/>
              <w:jc w:val="center"/>
              <w:rPr>
                <w:rFonts w:hAnsi="宋体"/>
                <w:color w:val="auto"/>
                <w:sz w:val="21"/>
                <w:szCs w:val="21"/>
                <w:highlight w:val="none"/>
              </w:rPr>
            </w:pPr>
            <w:r>
              <w:rPr>
                <w:rFonts w:hAnsi="宋体"/>
                <w:color w:val="auto"/>
                <w:sz w:val="21"/>
                <w:szCs w:val="21"/>
                <w:highlight w:val="none"/>
              </w:rPr>
              <w:t>常林</w:t>
            </w:r>
          </w:p>
        </w:tc>
        <w:tc>
          <w:tcPr>
            <w:tcW w:w="1424" w:type="dxa"/>
            <w:tcBorders>
              <w:top w:val="nil"/>
              <w:left w:val="nil"/>
              <w:bottom w:val="single" w:color="auto" w:sz="4" w:space="0"/>
              <w:right w:val="single" w:color="auto" w:sz="4" w:space="0"/>
            </w:tcBorders>
            <w:noWrap/>
            <w:vAlign w:val="center"/>
          </w:tcPr>
          <w:p w14:paraId="7A591577">
            <w:pPr>
              <w:widowControl/>
              <w:jc w:val="center"/>
              <w:rPr>
                <w:rFonts w:hAnsi="宋体"/>
                <w:color w:val="auto"/>
                <w:sz w:val="21"/>
                <w:szCs w:val="21"/>
                <w:highlight w:val="none"/>
              </w:rPr>
            </w:pPr>
            <w:r>
              <w:rPr>
                <w:rFonts w:hAnsi="宋体"/>
                <w:color w:val="auto"/>
                <w:sz w:val="21"/>
                <w:szCs w:val="21"/>
                <w:highlight w:val="none"/>
              </w:rPr>
              <w:t>2014年8月</w:t>
            </w:r>
          </w:p>
        </w:tc>
        <w:tc>
          <w:tcPr>
            <w:tcW w:w="812" w:type="dxa"/>
            <w:tcBorders>
              <w:top w:val="nil"/>
              <w:left w:val="nil"/>
              <w:bottom w:val="single" w:color="auto" w:sz="4" w:space="0"/>
              <w:right w:val="single" w:color="auto" w:sz="4" w:space="0"/>
            </w:tcBorders>
            <w:vAlign w:val="center"/>
          </w:tcPr>
          <w:p w14:paraId="64662BB3">
            <w:pPr>
              <w:widowControl/>
              <w:jc w:val="center"/>
              <w:rPr>
                <w:rFonts w:hAnsi="宋体"/>
                <w:color w:val="auto"/>
                <w:sz w:val="21"/>
                <w:szCs w:val="21"/>
                <w:highlight w:val="none"/>
              </w:rPr>
            </w:pPr>
            <w:r>
              <w:rPr>
                <w:rFonts w:hAnsi="宋体"/>
                <w:color w:val="auto"/>
                <w:sz w:val="21"/>
                <w:szCs w:val="21"/>
                <w:highlight w:val="none"/>
              </w:rPr>
              <w:t>2</w:t>
            </w:r>
          </w:p>
        </w:tc>
      </w:tr>
      <w:tr w14:paraId="48FAEE47">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7529E12">
            <w:pPr>
              <w:widowControl/>
              <w:jc w:val="center"/>
              <w:rPr>
                <w:rFonts w:hAnsi="宋体"/>
                <w:color w:val="auto"/>
                <w:sz w:val="21"/>
                <w:szCs w:val="21"/>
                <w:highlight w:val="none"/>
              </w:rPr>
            </w:pPr>
            <w:r>
              <w:rPr>
                <w:rFonts w:hAnsi="宋体"/>
                <w:color w:val="auto"/>
                <w:sz w:val="21"/>
                <w:szCs w:val="21"/>
                <w:highlight w:val="none"/>
              </w:rPr>
              <w:t>3</w:t>
            </w:r>
          </w:p>
        </w:tc>
        <w:tc>
          <w:tcPr>
            <w:tcW w:w="958" w:type="dxa"/>
            <w:tcBorders>
              <w:top w:val="nil"/>
              <w:left w:val="nil"/>
              <w:bottom w:val="single" w:color="auto" w:sz="4" w:space="0"/>
              <w:right w:val="single" w:color="auto" w:sz="4" w:space="0"/>
            </w:tcBorders>
            <w:vAlign w:val="center"/>
          </w:tcPr>
          <w:p w14:paraId="44E1BF1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E31CF86">
            <w:pPr>
              <w:widowControl/>
              <w:jc w:val="center"/>
              <w:rPr>
                <w:rFonts w:hAnsi="宋体"/>
                <w:color w:val="auto"/>
                <w:sz w:val="21"/>
                <w:szCs w:val="21"/>
                <w:highlight w:val="none"/>
              </w:rPr>
            </w:pPr>
            <w:r>
              <w:rPr>
                <w:rFonts w:hAnsi="宋体"/>
                <w:color w:val="auto"/>
                <w:sz w:val="21"/>
                <w:szCs w:val="21"/>
                <w:highlight w:val="none"/>
              </w:rPr>
              <w:t>挖装推一体机</w:t>
            </w:r>
          </w:p>
        </w:tc>
        <w:tc>
          <w:tcPr>
            <w:tcW w:w="1347" w:type="dxa"/>
            <w:tcBorders>
              <w:top w:val="nil"/>
              <w:left w:val="nil"/>
              <w:bottom w:val="single" w:color="auto" w:sz="4" w:space="0"/>
              <w:right w:val="single" w:color="auto" w:sz="4" w:space="0"/>
            </w:tcBorders>
            <w:noWrap/>
            <w:vAlign w:val="center"/>
          </w:tcPr>
          <w:p w14:paraId="6A759AD4">
            <w:pPr>
              <w:widowControl/>
              <w:jc w:val="center"/>
              <w:rPr>
                <w:rFonts w:hAnsi="宋体"/>
                <w:color w:val="auto"/>
                <w:sz w:val="21"/>
                <w:szCs w:val="21"/>
                <w:highlight w:val="none"/>
              </w:rPr>
            </w:pPr>
            <w:r>
              <w:rPr>
                <w:rFonts w:hAnsi="宋体"/>
                <w:color w:val="auto"/>
                <w:sz w:val="21"/>
                <w:szCs w:val="21"/>
                <w:highlight w:val="none"/>
              </w:rPr>
              <w:t>2-AEC00359</w:t>
            </w:r>
          </w:p>
        </w:tc>
        <w:tc>
          <w:tcPr>
            <w:tcW w:w="1239" w:type="dxa"/>
            <w:tcBorders>
              <w:top w:val="nil"/>
              <w:left w:val="nil"/>
              <w:bottom w:val="single" w:color="auto" w:sz="4" w:space="0"/>
              <w:right w:val="single" w:color="auto" w:sz="4" w:space="0"/>
            </w:tcBorders>
            <w:vAlign w:val="center"/>
          </w:tcPr>
          <w:p w14:paraId="0F6EE02F">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1FB4FB29">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53333CB">
            <w:pPr>
              <w:widowControl/>
              <w:jc w:val="center"/>
              <w:rPr>
                <w:rFonts w:hAnsi="宋体"/>
                <w:color w:val="auto"/>
                <w:sz w:val="21"/>
                <w:szCs w:val="21"/>
                <w:highlight w:val="none"/>
              </w:rPr>
            </w:pPr>
            <w:r>
              <w:rPr>
                <w:rFonts w:hAnsi="宋体"/>
                <w:color w:val="auto"/>
                <w:sz w:val="21"/>
                <w:szCs w:val="21"/>
                <w:highlight w:val="none"/>
              </w:rPr>
              <w:t>3CX-4T</w:t>
            </w:r>
          </w:p>
        </w:tc>
        <w:tc>
          <w:tcPr>
            <w:tcW w:w="1143" w:type="dxa"/>
            <w:tcBorders>
              <w:top w:val="nil"/>
              <w:left w:val="nil"/>
              <w:bottom w:val="single" w:color="auto" w:sz="4" w:space="0"/>
              <w:right w:val="single" w:color="auto" w:sz="4" w:space="0"/>
            </w:tcBorders>
            <w:vAlign w:val="center"/>
          </w:tcPr>
          <w:p w14:paraId="3E736854">
            <w:pPr>
              <w:widowControl/>
              <w:jc w:val="center"/>
              <w:rPr>
                <w:rFonts w:hAnsi="宋体"/>
                <w:color w:val="auto"/>
                <w:sz w:val="21"/>
                <w:szCs w:val="21"/>
                <w:highlight w:val="none"/>
              </w:rPr>
            </w:pPr>
            <w:r>
              <w:rPr>
                <w:rFonts w:hAnsi="宋体"/>
                <w:color w:val="auto"/>
                <w:sz w:val="21"/>
                <w:szCs w:val="21"/>
                <w:highlight w:val="none"/>
              </w:rPr>
              <w:t>JCB</w:t>
            </w:r>
          </w:p>
        </w:tc>
        <w:tc>
          <w:tcPr>
            <w:tcW w:w="1424" w:type="dxa"/>
            <w:tcBorders>
              <w:top w:val="nil"/>
              <w:left w:val="nil"/>
              <w:bottom w:val="single" w:color="auto" w:sz="4" w:space="0"/>
              <w:right w:val="single" w:color="auto" w:sz="4" w:space="0"/>
            </w:tcBorders>
            <w:noWrap/>
            <w:vAlign w:val="center"/>
          </w:tcPr>
          <w:p w14:paraId="034DB144">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0A51470E">
            <w:pPr>
              <w:widowControl/>
              <w:jc w:val="center"/>
              <w:rPr>
                <w:rFonts w:hAnsi="宋体"/>
                <w:color w:val="auto"/>
                <w:sz w:val="21"/>
                <w:szCs w:val="21"/>
                <w:highlight w:val="none"/>
              </w:rPr>
            </w:pPr>
            <w:r>
              <w:rPr>
                <w:rFonts w:hAnsi="宋体"/>
                <w:color w:val="auto"/>
                <w:sz w:val="21"/>
                <w:szCs w:val="21"/>
                <w:highlight w:val="none"/>
              </w:rPr>
              <w:t>2</w:t>
            </w:r>
          </w:p>
        </w:tc>
      </w:tr>
      <w:tr w14:paraId="6618F497">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010ADF46">
            <w:pPr>
              <w:widowControl/>
              <w:jc w:val="center"/>
              <w:rPr>
                <w:rFonts w:hAnsi="宋体"/>
                <w:color w:val="auto"/>
                <w:sz w:val="21"/>
                <w:szCs w:val="21"/>
                <w:highlight w:val="none"/>
              </w:rPr>
            </w:pPr>
            <w:r>
              <w:rPr>
                <w:rFonts w:hAnsi="宋体"/>
                <w:color w:val="auto"/>
                <w:sz w:val="21"/>
                <w:szCs w:val="21"/>
                <w:highlight w:val="none"/>
              </w:rPr>
              <w:t>4</w:t>
            </w:r>
          </w:p>
        </w:tc>
        <w:tc>
          <w:tcPr>
            <w:tcW w:w="958" w:type="dxa"/>
            <w:tcBorders>
              <w:top w:val="nil"/>
              <w:left w:val="nil"/>
              <w:bottom w:val="single" w:color="auto" w:sz="4" w:space="0"/>
              <w:right w:val="single" w:color="auto" w:sz="4" w:space="0"/>
            </w:tcBorders>
            <w:vAlign w:val="center"/>
          </w:tcPr>
          <w:p w14:paraId="787786A1">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A1A4ACC">
            <w:pPr>
              <w:widowControl/>
              <w:jc w:val="center"/>
              <w:rPr>
                <w:rFonts w:hAnsi="宋体"/>
                <w:color w:val="auto"/>
                <w:sz w:val="21"/>
                <w:szCs w:val="21"/>
                <w:highlight w:val="none"/>
              </w:rPr>
            </w:pPr>
            <w:r>
              <w:rPr>
                <w:rFonts w:hAnsi="宋体"/>
                <w:color w:val="auto"/>
                <w:sz w:val="21"/>
                <w:szCs w:val="21"/>
                <w:highlight w:val="none"/>
              </w:rPr>
              <w:t>滑移多功能机</w:t>
            </w:r>
          </w:p>
        </w:tc>
        <w:tc>
          <w:tcPr>
            <w:tcW w:w="1347" w:type="dxa"/>
            <w:tcBorders>
              <w:top w:val="nil"/>
              <w:left w:val="nil"/>
              <w:bottom w:val="single" w:color="auto" w:sz="4" w:space="0"/>
              <w:right w:val="single" w:color="auto" w:sz="4" w:space="0"/>
            </w:tcBorders>
            <w:noWrap/>
            <w:vAlign w:val="center"/>
          </w:tcPr>
          <w:p w14:paraId="7072F2D8">
            <w:pPr>
              <w:widowControl/>
              <w:jc w:val="center"/>
              <w:rPr>
                <w:rFonts w:hAnsi="宋体"/>
                <w:color w:val="auto"/>
                <w:sz w:val="21"/>
                <w:szCs w:val="21"/>
                <w:highlight w:val="none"/>
              </w:rPr>
            </w:pPr>
            <w:r>
              <w:rPr>
                <w:rFonts w:hAnsi="宋体"/>
                <w:color w:val="auto"/>
                <w:sz w:val="21"/>
                <w:szCs w:val="21"/>
                <w:highlight w:val="none"/>
              </w:rPr>
              <w:t>X-AEC00023</w:t>
            </w:r>
          </w:p>
        </w:tc>
        <w:tc>
          <w:tcPr>
            <w:tcW w:w="1239" w:type="dxa"/>
            <w:tcBorders>
              <w:top w:val="nil"/>
              <w:left w:val="nil"/>
              <w:bottom w:val="single" w:color="auto" w:sz="4" w:space="0"/>
              <w:right w:val="single" w:color="auto" w:sz="4" w:space="0"/>
            </w:tcBorders>
            <w:vAlign w:val="center"/>
          </w:tcPr>
          <w:p w14:paraId="29955E94">
            <w:pPr>
              <w:widowControl/>
              <w:jc w:val="center"/>
              <w:rPr>
                <w:rFonts w:hAnsi="宋体"/>
                <w:color w:val="auto"/>
                <w:sz w:val="21"/>
                <w:szCs w:val="21"/>
                <w:highlight w:val="none"/>
              </w:rPr>
            </w:pPr>
            <w:r>
              <w:rPr>
                <w:rFonts w:hAnsi="宋体"/>
                <w:color w:val="auto"/>
                <w:sz w:val="21"/>
                <w:szCs w:val="21"/>
                <w:highlight w:val="none"/>
              </w:rPr>
              <w:t>装、吸、铣、钻、扫、叉</w:t>
            </w:r>
          </w:p>
        </w:tc>
        <w:tc>
          <w:tcPr>
            <w:tcW w:w="532" w:type="dxa"/>
            <w:tcBorders>
              <w:top w:val="nil"/>
              <w:left w:val="nil"/>
              <w:bottom w:val="single" w:color="auto" w:sz="4" w:space="0"/>
              <w:right w:val="single" w:color="auto" w:sz="4" w:space="0"/>
            </w:tcBorders>
            <w:vAlign w:val="center"/>
          </w:tcPr>
          <w:p w14:paraId="35A3A95C">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278CE762">
            <w:pPr>
              <w:widowControl/>
              <w:jc w:val="center"/>
              <w:rPr>
                <w:rFonts w:hAnsi="宋体"/>
                <w:color w:val="auto"/>
                <w:sz w:val="21"/>
                <w:szCs w:val="21"/>
                <w:highlight w:val="none"/>
              </w:rPr>
            </w:pPr>
            <w:r>
              <w:rPr>
                <w:rFonts w:hAnsi="宋体"/>
                <w:color w:val="auto"/>
                <w:sz w:val="21"/>
                <w:szCs w:val="21"/>
                <w:highlight w:val="none"/>
              </w:rPr>
              <w:t>S770</w:t>
            </w:r>
          </w:p>
        </w:tc>
        <w:tc>
          <w:tcPr>
            <w:tcW w:w="1143" w:type="dxa"/>
            <w:tcBorders>
              <w:top w:val="nil"/>
              <w:left w:val="nil"/>
              <w:bottom w:val="single" w:color="auto" w:sz="4" w:space="0"/>
              <w:right w:val="single" w:color="auto" w:sz="4" w:space="0"/>
            </w:tcBorders>
            <w:vAlign w:val="center"/>
          </w:tcPr>
          <w:p w14:paraId="06631B9E">
            <w:pPr>
              <w:widowControl/>
              <w:jc w:val="center"/>
              <w:rPr>
                <w:rFonts w:hAnsi="宋体"/>
                <w:color w:val="auto"/>
                <w:sz w:val="21"/>
                <w:szCs w:val="21"/>
                <w:highlight w:val="none"/>
              </w:rPr>
            </w:pPr>
            <w:r>
              <w:rPr>
                <w:rFonts w:hAnsi="宋体"/>
                <w:color w:val="auto"/>
                <w:sz w:val="21"/>
                <w:szCs w:val="21"/>
                <w:highlight w:val="none"/>
              </w:rPr>
              <w:t>山猫</w:t>
            </w:r>
          </w:p>
        </w:tc>
        <w:tc>
          <w:tcPr>
            <w:tcW w:w="1424" w:type="dxa"/>
            <w:tcBorders>
              <w:top w:val="nil"/>
              <w:left w:val="nil"/>
              <w:bottom w:val="single" w:color="auto" w:sz="4" w:space="0"/>
              <w:right w:val="single" w:color="auto" w:sz="4" w:space="0"/>
            </w:tcBorders>
            <w:noWrap/>
            <w:vAlign w:val="center"/>
          </w:tcPr>
          <w:p w14:paraId="40A18351">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49C8C012">
            <w:pPr>
              <w:widowControl/>
              <w:jc w:val="center"/>
              <w:rPr>
                <w:rFonts w:hAnsi="宋体"/>
                <w:color w:val="auto"/>
                <w:sz w:val="21"/>
                <w:szCs w:val="21"/>
                <w:highlight w:val="none"/>
              </w:rPr>
            </w:pPr>
            <w:r>
              <w:rPr>
                <w:rFonts w:hAnsi="宋体"/>
                <w:color w:val="auto"/>
                <w:sz w:val="21"/>
                <w:szCs w:val="21"/>
                <w:highlight w:val="none"/>
              </w:rPr>
              <w:t>2</w:t>
            </w:r>
          </w:p>
        </w:tc>
      </w:tr>
      <w:tr w14:paraId="61ED1725">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C3FA30F">
            <w:pPr>
              <w:widowControl/>
              <w:jc w:val="center"/>
              <w:rPr>
                <w:rFonts w:hAnsi="宋体"/>
                <w:color w:val="auto"/>
                <w:sz w:val="21"/>
                <w:szCs w:val="21"/>
                <w:highlight w:val="none"/>
              </w:rPr>
            </w:pPr>
            <w:r>
              <w:rPr>
                <w:rFonts w:hAnsi="宋体"/>
                <w:color w:val="auto"/>
                <w:sz w:val="21"/>
                <w:szCs w:val="21"/>
                <w:highlight w:val="none"/>
              </w:rPr>
              <w:t>5</w:t>
            </w:r>
          </w:p>
        </w:tc>
        <w:tc>
          <w:tcPr>
            <w:tcW w:w="958" w:type="dxa"/>
            <w:tcBorders>
              <w:top w:val="nil"/>
              <w:left w:val="nil"/>
              <w:bottom w:val="single" w:color="auto" w:sz="4" w:space="0"/>
              <w:right w:val="single" w:color="auto" w:sz="4" w:space="0"/>
            </w:tcBorders>
            <w:vAlign w:val="center"/>
          </w:tcPr>
          <w:p w14:paraId="6E1AF34C">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9A6B463">
            <w:pPr>
              <w:widowControl/>
              <w:jc w:val="center"/>
              <w:rPr>
                <w:rFonts w:hAnsi="宋体"/>
                <w:color w:val="auto"/>
                <w:sz w:val="21"/>
                <w:szCs w:val="21"/>
                <w:highlight w:val="none"/>
              </w:rPr>
            </w:pPr>
            <w:r>
              <w:rPr>
                <w:rFonts w:hAnsi="宋体"/>
                <w:color w:val="auto"/>
                <w:sz w:val="21"/>
                <w:szCs w:val="21"/>
                <w:highlight w:val="none"/>
              </w:rPr>
              <w:t>双钢轮压路机</w:t>
            </w:r>
          </w:p>
        </w:tc>
        <w:tc>
          <w:tcPr>
            <w:tcW w:w="1347" w:type="dxa"/>
            <w:tcBorders>
              <w:top w:val="nil"/>
              <w:left w:val="nil"/>
              <w:bottom w:val="single" w:color="auto" w:sz="4" w:space="0"/>
              <w:right w:val="single" w:color="auto" w:sz="4" w:space="0"/>
            </w:tcBorders>
            <w:noWrap/>
            <w:vAlign w:val="center"/>
          </w:tcPr>
          <w:p w14:paraId="3724E7AC">
            <w:pPr>
              <w:widowControl/>
              <w:jc w:val="center"/>
              <w:rPr>
                <w:rFonts w:hAnsi="宋体"/>
                <w:color w:val="auto"/>
                <w:sz w:val="21"/>
                <w:szCs w:val="21"/>
                <w:highlight w:val="none"/>
              </w:rPr>
            </w:pPr>
            <w:r>
              <w:rPr>
                <w:rFonts w:hAnsi="宋体"/>
                <w:color w:val="auto"/>
                <w:sz w:val="21"/>
                <w:szCs w:val="21"/>
                <w:highlight w:val="none"/>
              </w:rPr>
              <w:t>X-AEC00030</w:t>
            </w:r>
          </w:p>
        </w:tc>
        <w:tc>
          <w:tcPr>
            <w:tcW w:w="1239" w:type="dxa"/>
            <w:tcBorders>
              <w:top w:val="nil"/>
              <w:left w:val="nil"/>
              <w:bottom w:val="single" w:color="auto" w:sz="4" w:space="0"/>
              <w:right w:val="single" w:color="auto" w:sz="4" w:space="0"/>
            </w:tcBorders>
            <w:vAlign w:val="center"/>
          </w:tcPr>
          <w:p w14:paraId="210F903F">
            <w:pPr>
              <w:widowControl/>
              <w:jc w:val="center"/>
              <w:rPr>
                <w:rFonts w:hAnsi="宋体"/>
                <w:color w:val="auto"/>
                <w:sz w:val="21"/>
                <w:szCs w:val="21"/>
                <w:highlight w:val="none"/>
              </w:rPr>
            </w:pPr>
            <w:r>
              <w:rPr>
                <w:rFonts w:hAnsi="宋体"/>
                <w:color w:val="auto"/>
                <w:sz w:val="21"/>
                <w:szCs w:val="21"/>
                <w:highlight w:val="none"/>
              </w:rPr>
              <w:t>≧自重3.5T</w:t>
            </w:r>
          </w:p>
        </w:tc>
        <w:tc>
          <w:tcPr>
            <w:tcW w:w="532" w:type="dxa"/>
            <w:tcBorders>
              <w:top w:val="nil"/>
              <w:left w:val="nil"/>
              <w:bottom w:val="single" w:color="auto" w:sz="4" w:space="0"/>
              <w:right w:val="single" w:color="auto" w:sz="4" w:space="0"/>
            </w:tcBorders>
            <w:vAlign w:val="center"/>
          </w:tcPr>
          <w:p w14:paraId="2E56F1C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A5A938D">
            <w:pPr>
              <w:widowControl/>
              <w:jc w:val="center"/>
              <w:rPr>
                <w:rFonts w:hAnsi="宋体"/>
                <w:color w:val="auto"/>
                <w:sz w:val="21"/>
                <w:szCs w:val="21"/>
                <w:highlight w:val="none"/>
              </w:rPr>
            </w:pPr>
            <w:r>
              <w:rPr>
                <w:rFonts w:hAnsi="宋体"/>
                <w:color w:val="auto"/>
                <w:sz w:val="21"/>
                <w:szCs w:val="21"/>
                <w:highlight w:val="none"/>
              </w:rPr>
              <w:t>HD12VO</w:t>
            </w:r>
          </w:p>
        </w:tc>
        <w:tc>
          <w:tcPr>
            <w:tcW w:w="1143" w:type="dxa"/>
            <w:tcBorders>
              <w:top w:val="nil"/>
              <w:left w:val="nil"/>
              <w:bottom w:val="single" w:color="auto" w:sz="4" w:space="0"/>
              <w:right w:val="single" w:color="auto" w:sz="4" w:space="0"/>
            </w:tcBorders>
            <w:vAlign w:val="center"/>
          </w:tcPr>
          <w:p w14:paraId="677B71F5">
            <w:pPr>
              <w:widowControl/>
              <w:jc w:val="center"/>
              <w:rPr>
                <w:rFonts w:hAnsi="宋体"/>
                <w:color w:val="auto"/>
                <w:sz w:val="21"/>
                <w:szCs w:val="21"/>
                <w:highlight w:val="none"/>
              </w:rPr>
            </w:pPr>
            <w:r>
              <w:rPr>
                <w:rFonts w:hAnsi="宋体"/>
                <w:color w:val="auto"/>
                <w:sz w:val="21"/>
                <w:szCs w:val="21"/>
                <w:highlight w:val="none"/>
              </w:rPr>
              <w:t>维特根</w:t>
            </w:r>
          </w:p>
        </w:tc>
        <w:tc>
          <w:tcPr>
            <w:tcW w:w="1424" w:type="dxa"/>
            <w:tcBorders>
              <w:top w:val="nil"/>
              <w:left w:val="nil"/>
              <w:bottom w:val="single" w:color="auto" w:sz="4" w:space="0"/>
              <w:right w:val="single" w:color="auto" w:sz="4" w:space="0"/>
            </w:tcBorders>
            <w:noWrap/>
            <w:vAlign w:val="center"/>
          </w:tcPr>
          <w:p w14:paraId="40C392F2">
            <w:pPr>
              <w:widowControl/>
              <w:jc w:val="center"/>
              <w:rPr>
                <w:rFonts w:hAnsi="宋体"/>
                <w:color w:val="auto"/>
                <w:sz w:val="21"/>
                <w:szCs w:val="21"/>
                <w:highlight w:val="none"/>
              </w:rPr>
            </w:pPr>
            <w:r>
              <w:rPr>
                <w:rFonts w:hAnsi="宋体"/>
                <w:color w:val="auto"/>
                <w:sz w:val="21"/>
                <w:szCs w:val="21"/>
                <w:highlight w:val="none"/>
              </w:rPr>
              <w:t>2017年10月</w:t>
            </w:r>
          </w:p>
        </w:tc>
        <w:tc>
          <w:tcPr>
            <w:tcW w:w="812" w:type="dxa"/>
            <w:tcBorders>
              <w:top w:val="nil"/>
              <w:left w:val="nil"/>
              <w:bottom w:val="single" w:color="auto" w:sz="4" w:space="0"/>
              <w:right w:val="single" w:color="auto" w:sz="4" w:space="0"/>
            </w:tcBorders>
            <w:vAlign w:val="center"/>
          </w:tcPr>
          <w:p w14:paraId="04171756">
            <w:pPr>
              <w:widowControl/>
              <w:jc w:val="center"/>
              <w:rPr>
                <w:rFonts w:hAnsi="宋体"/>
                <w:color w:val="auto"/>
                <w:sz w:val="21"/>
                <w:szCs w:val="21"/>
                <w:highlight w:val="none"/>
              </w:rPr>
            </w:pPr>
            <w:r>
              <w:rPr>
                <w:rFonts w:hAnsi="宋体"/>
                <w:color w:val="auto"/>
                <w:sz w:val="21"/>
                <w:szCs w:val="21"/>
                <w:highlight w:val="none"/>
              </w:rPr>
              <w:t>2</w:t>
            </w:r>
          </w:p>
        </w:tc>
      </w:tr>
      <w:tr w14:paraId="1ABADF1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A8E6A39">
            <w:pPr>
              <w:widowControl/>
              <w:jc w:val="center"/>
              <w:rPr>
                <w:rFonts w:hAnsi="宋体"/>
                <w:color w:val="auto"/>
                <w:sz w:val="21"/>
                <w:szCs w:val="21"/>
                <w:highlight w:val="none"/>
              </w:rPr>
            </w:pPr>
            <w:r>
              <w:rPr>
                <w:rFonts w:hAnsi="宋体"/>
                <w:color w:val="auto"/>
                <w:sz w:val="21"/>
                <w:szCs w:val="21"/>
                <w:highlight w:val="none"/>
              </w:rPr>
              <w:t>6</w:t>
            </w:r>
          </w:p>
        </w:tc>
        <w:tc>
          <w:tcPr>
            <w:tcW w:w="958" w:type="dxa"/>
            <w:tcBorders>
              <w:top w:val="nil"/>
              <w:left w:val="nil"/>
              <w:bottom w:val="single" w:color="auto" w:sz="4" w:space="0"/>
              <w:right w:val="single" w:color="auto" w:sz="4" w:space="0"/>
            </w:tcBorders>
            <w:vAlign w:val="center"/>
          </w:tcPr>
          <w:p w14:paraId="77A44668">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EBEDBAE">
            <w:pPr>
              <w:widowControl/>
              <w:jc w:val="center"/>
              <w:rPr>
                <w:rFonts w:hAnsi="宋体"/>
                <w:color w:val="auto"/>
                <w:sz w:val="21"/>
                <w:szCs w:val="21"/>
                <w:highlight w:val="none"/>
              </w:rPr>
            </w:pPr>
            <w:r>
              <w:rPr>
                <w:rFonts w:hAnsi="宋体"/>
                <w:color w:val="auto"/>
                <w:sz w:val="21"/>
                <w:szCs w:val="21"/>
                <w:highlight w:val="none"/>
              </w:rPr>
              <w:t>除雪铲</w:t>
            </w:r>
          </w:p>
        </w:tc>
        <w:tc>
          <w:tcPr>
            <w:tcW w:w="1347" w:type="dxa"/>
            <w:tcBorders>
              <w:top w:val="nil"/>
              <w:left w:val="nil"/>
              <w:bottom w:val="single" w:color="auto" w:sz="4" w:space="0"/>
              <w:right w:val="single" w:color="auto" w:sz="4" w:space="0"/>
            </w:tcBorders>
            <w:vAlign w:val="center"/>
          </w:tcPr>
          <w:p w14:paraId="7B925A57">
            <w:pPr>
              <w:widowControl/>
              <w:jc w:val="center"/>
              <w:rPr>
                <w:rFonts w:hAnsi="宋体"/>
                <w:color w:val="auto"/>
                <w:sz w:val="21"/>
                <w:szCs w:val="21"/>
                <w:highlight w:val="none"/>
              </w:rPr>
            </w:pPr>
            <w:r>
              <w:rPr>
                <w:rFonts w:hAnsi="宋体"/>
                <w:color w:val="auto"/>
                <w:sz w:val="21"/>
                <w:szCs w:val="21"/>
                <w:highlight w:val="none"/>
              </w:rPr>
              <w:t>太仓应急(001)</w:t>
            </w:r>
          </w:p>
        </w:tc>
        <w:tc>
          <w:tcPr>
            <w:tcW w:w="1239" w:type="dxa"/>
            <w:tcBorders>
              <w:top w:val="nil"/>
              <w:left w:val="nil"/>
              <w:bottom w:val="single" w:color="auto" w:sz="4" w:space="0"/>
              <w:right w:val="single" w:color="auto" w:sz="4" w:space="0"/>
            </w:tcBorders>
            <w:vAlign w:val="center"/>
          </w:tcPr>
          <w:p w14:paraId="4C2FBCF3">
            <w:pPr>
              <w:widowControl/>
              <w:jc w:val="center"/>
              <w:rPr>
                <w:rFonts w:hAnsi="宋体"/>
                <w:color w:val="auto"/>
                <w:sz w:val="21"/>
                <w:szCs w:val="21"/>
                <w:highlight w:val="none"/>
              </w:rPr>
            </w:pPr>
            <w:r>
              <w:rPr>
                <w:rFonts w:hAnsi="宋体"/>
                <w:color w:val="auto"/>
                <w:sz w:val="21"/>
                <w:szCs w:val="21"/>
                <w:highlight w:val="none"/>
              </w:rPr>
              <w:t>3.3m</w:t>
            </w:r>
          </w:p>
        </w:tc>
        <w:tc>
          <w:tcPr>
            <w:tcW w:w="532" w:type="dxa"/>
            <w:tcBorders>
              <w:top w:val="nil"/>
              <w:left w:val="nil"/>
              <w:bottom w:val="single" w:color="auto" w:sz="4" w:space="0"/>
              <w:right w:val="single" w:color="auto" w:sz="4" w:space="0"/>
            </w:tcBorders>
            <w:vAlign w:val="center"/>
          </w:tcPr>
          <w:p w14:paraId="6EA71DC8">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D5738AC">
            <w:pPr>
              <w:widowControl/>
              <w:jc w:val="center"/>
              <w:rPr>
                <w:rFonts w:hAnsi="宋体"/>
                <w:color w:val="auto"/>
                <w:sz w:val="21"/>
                <w:szCs w:val="21"/>
                <w:highlight w:val="none"/>
              </w:rPr>
            </w:pPr>
            <w:r>
              <w:rPr>
                <w:rFonts w:hAnsi="宋体"/>
                <w:color w:val="auto"/>
                <w:sz w:val="21"/>
                <w:szCs w:val="21"/>
                <w:highlight w:val="none"/>
              </w:rPr>
              <w:t>QC3300</w:t>
            </w:r>
          </w:p>
        </w:tc>
        <w:tc>
          <w:tcPr>
            <w:tcW w:w="1143" w:type="dxa"/>
            <w:tcBorders>
              <w:top w:val="nil"/>
              <w:left w:val="nil"/>
              <w:bottom w:val="single" w:color="auto" w:sz="4" w:space="0"/>
              <w:right w:val="single" w:color="auto" w:sz="4" w:space="0"/>
            </w:tcBorders>
            <w:vAlign w:val="center"/>
          </w:tcPr>
          <w:p w14:paraId="7310753A">
            <w:pPr>
              <w:widowControl/>
              <w:jc w:val="center"/>
              <w:rPr>
                <w:rFonts w:hAnsi="宋体"/>
                <w:color w:val="auto"/>
                <w:sz w:val="21"/>
                <w:szCs w:val="21"/>
                <w:highlight w:val="none"/>
              </w:rPr>
            </w:pPr>
            <w:r>
              <w:rPr>
                <w:rFonts w:hAnsi="宋体"/>
                <w:color w:val="auto"/>
                <w:sz w:val="21"/>
                <w:szCs w:val="21"/>
                <w:highlight w:val="none"/>
              </w:rPr>
              <w:t>天信</w:t>
            </w:r>
          </w:p>
        </w:tc>
        <w:tc>
          <w:tcPr>
            <w:tcW w:w="1424" w:type="dxa"/>
            <w:tcBorders>
              <w:top w:val="nil"/>
              <w:left w:val="nil"/>
              <w:bottom w:val="single" w:color="auto" w:sz="4" w:space="0"/>
              <w:right w:val="single" w:color="auto" w:sz="4" w:space="0"/>
            </w:tcBorders>
            <w:noWrap/>
            <w:vAlign w:val="center"/>
          </w:tcPr>
          <w:p w14:paraId="172D1EA2">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09A114B7">
            <w:pPr>
              <w:widowControl/>
              <w:jc w:val="center"/>
              <w:rPr>
                <w:rFonts w:hAnsi="宋体"/>
                <w:color w:val="auto"/>
                <w:sz w:val="21"/>
                <w:szCs w:val="21"/>
                <w:highlight w:val="none"/>
              </w:rPr>
            </w:pPr>
            <w:r>
              <w:rPr>
                <w:rFonts w:hAnsi="宋体"/>
                <w:color w:val="auto"/>
                <w:sz w:val="21"/>
                <w:szCs w:val="21"/>
                <w:highlight w:val="none"/>
              </w:rPr>
              <w:t>2</w:t>
            </w:r>
          </w:p>
        </w:tc>
      </w:tr>
      <w:tr w14:paraId="08E27643">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E779E1A">
            <w:pPr>
              <w:widowControl/>
              <w:jc w:val="center"/>
              <w:rPr>
                <w:rFonts w:hAnsi="宋体"/>
                <w:color w:val="auto"/>
                <w:sz w:val="21"/>
                <w:szCs w:val="21"/>
                <w:highlight w:val="none"/>
              </w:rPr>
            </w:pPr>
            <w:r>
              <w:rPr>
                <w:rFonts w:hAnsi="宋体"/>
                <w:color w:val="auto"/>
                <w:sz w:val="21"/>
                <w:szCs w:val="21"/>
                <w:highlight w:val="none"/>
              </w:rPr>
              <w:t>7</w:t>
            </w:r>
          </w:p>
        </w:tc>
        <w:tc>
          <w:tcPr>
            <w:tcW w:w="958" w:type="dxa"/>
            <w:tcBorders>
              <w:top w:val="nil"/>
              <w:left w:val="nil"/>
              <w:bottom w:val="single" w:color="auto" w:sz="4" w:space="0"/>
              <w:right w:val="single" w:color="auto" w:sz="4" w:space="0"/>
            </w:tcBorders>
            <w:vAlign w:val="center"/>
          </w:tcPr>
          <w:p w14:paraId="107F2482">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213D21E">
            <w:pPr>
              <w:widowControl/>
              <w:jc w:val="center"/>
              <w:rPr>
                <w:rFonts w:hAnsi="宋体"/>
                <w:color w:val="auto"/>
                <w:sz w:val="21"/>
                <w:szCs w:val="21"/>
                <w:highlight w:val="none"/>
              </w:rPr>
            </w:pPr>
            <w:r>
              <w:rPr>
                <w:rFonts w:hAnsi="宋体"/>
                <w:color w:val="auto"/>
                <w:sz w:val="21"/>
                <w:szCs w:val="21"/>
                <w:highlight w:val="none"/>
              </w:rPr>
              <w:t>推雪铲</w:t>
            </w:r>
          </w:p>
        </w:tc>
        <w:tc>
          <w:tcPr>
            <w:tcW w:w="1347" w:type="dxa"/>
            <w:tcBorders>
              <w:top w:val="nil"/>
              <w:left w:val="nil"/>
              <w:bottom w:val="single" w:color="auto" w:sz="4" w:space="0"/>
              <w:right w:val="single" w:color="auto" w:sz="4" w:space="0"/>
            </w:tcBorders>
            <w:vAlign w:val="center"/>
          </w:tcPr>
          <w:p w14:paraId="3D6D2774">
            <w:pPr>
              <w:widowControl/>
              <w:jc w:val="center"/>
              <w:rPr>
                <w:rFonts w:hAnsi="宋体"/>
                <w:color w:val="auto"/>
                <w:sz w:val="21"/>
                <w:szCs w:val="21"/>
                <w:highlight w:val="none"/>
              </w:rPr>
            </w:pPr>
            <w:r>
              <w:rPr>
                <w:rFonts w:hAnsi="宋体"/>
                <w:color w:val="auto"/>
                <w:sz w:val="21"/>
                <w:szCs w:val="21"/>
                <w:highlight w:val="none"/>
              </w:rPr>
              <w:t>太仓应急(002)</w:t>
            </w:r>
          </w:p>
        </w:tc>
        <w:tc>
          <w:tcPr>
            <w:tcW w:w="1239" w:type="dxa"/>
            <w:tcBorders>
              <w:top w:val="nil"/>
              <w:left w:val="nil"/>
              <w:bottom w:val="single" w:color="auto" w:sz="4" w:space="0"/>
              <w:right w:val="single" w:color="auto" w:sz="4" w:space="0"/>
            </w:tcBorders>
            <w:vAlign w:val="center"/>
          </w:tcPr>
          <w:p w14:paraId="2D9D8207">
            <w:pPr>
              <w:widowControl/>
              <w:jc w:val="center"/>
              <w:rPr>
                <w:rFonts w:hAnsi="宋体"/>
                <w:color w:val="auto"/>
                <w:sz w:val="21"/>
                <w:szCs w:val="21"/>
                <w:highlight w:val="none"/>
              </w:rPr>
            </w:pPr>
            <w:r>
              <w:rPr>
                <w:rFonts w:hAnsi="宋体"/>
                <w:color w:val="auto"/>
                <w:sz w:val="21"/>
                <w:szCs w:val="21"/>
                <w:highlight w:val="none"/>
              </w:rPr>
              <w:t>3m</w:t>
            </w:r>
          </w:p>
        </w:tc>
        <w:tc>
          <w:tcPr>
            <w:tcW w:w="532" w:type="dxa"/>
            <w:tcBorders>
              <w:top w:val="nil"/>
              <w:left w:val="nil"/>
              <w:bottom w:val="single" w:color="auto" w:sz="4" w:space="0"/>
              <w:right w:val="single" w:color="auto" w:sz="4" w:space="0"/>
            </w:tcBorders>
            <w:vAlign w:val="center"/>
          </w:tcPr>
          <w:p w14:paraId="7C282889">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C9C02F0">
            <w:pPr>
              <w:widowControl/>
              <w:jc w:val="center"/>
              <w:rPr>
                <w:rFonts w:hAnsi="宋体"/>
                <w:color w:val="auto"/>
                <w:sz w:val="21"/>
                <w:szCs w:val="21"/>
                <w:highlight w:val="none"/>
              </w:rPr>
            </w:pPr>
            <w:r>
              <w:rPr>
                <w:rFonts w:hAnsi="宋体"/>
                <w:color w:val="auto"/>
                <w:sz w:val="21"/>
                <w:szCs w:val="21"/>
                <w:highlight w:val="none"/>
              </w:rPr>
              <w:t>CHD3000TXC</w:t>
            </w:r>
          </w:p>
        </w:tc>
        <w:tc>
          <w:tcPr>
            <w:tcW w:w="1143" w:type="dxa"/>
            <w:tcBorders>
              <w:top w:val="nil"/>
              <w:left w:val="nil"/>
              <w:bottom w:val="single" w:color="auto" w:sz="4" w:space="0"/>
              <w:right w:val="single" w:color="auto" w:sz="4" w:space="0"/>
            </w:tcBorders>
            <w:vAlign w:val="center"/>
          </w:tcPr>
          <w:p w14:paraId="06032FBA">
            <w:pPr>
              <w:widowControl/>
              <w:jc w:val="center"/>
              <w:rPr>
                <w:rFonts w:hAnsi="宋体"/>
                <w:color w:val="auto"/>
                <w:sz w:val="21"/>
                <w:szCs w:val="21"/>
                <w:highlight w:val="none"/>
              </w:rPr>
            </w:pPr>
            <w:r>
              <w:rPr>
                <w:rFonts w:hAnsi="宋体"/>
                <w:color w:val="auto"/>
                <w:sz w:val="21"/>
                <w:szCs w:val="21"/>
                <w:highlight w:val="none"/>
              </w:rPr>
              <w:t>海德</w:t>
            </w:r>
          </w:p>
        </w:tc>
        <w:tc>
          <w:tcPr>
            <w:tcW w:w="1424" w:type="dxa"/>
            <w:tcBorders>
              <w:top w:val="nil"/>
              <w:left w:val="nil"/>
              <w:bottom w:val="single" w:color="auto" w:sz="4" w:space="0"/>
              <w:right w:val="single" w:color="auto" w:sz="4" w:space="0"/>
            </w:tcBorders>
            <w:noWrap/>
            <w:vAlign w:val="center"/>
          </w:tcPr>
          <w:p w14:paraId="5BB85B0F">
            <w:pPr>
              <w:widowControl/>
              <w:jc w:val="center"/>
              <w:rPr>
                <w:rFonts w:hAnsi="宋体"/>
                <w:color w:val="auto"/>
                <w:sz w:val="21"/>
                <w:szCs w:val="21"/>
                <w:highlight w:val="none"/>
              </w:rPr>
            </w:pPr>
            <w:r>
              <w:rPr>
                <w:rFonts w:hAnsi="宋体"/>
                <w:color w:val="auto"/>
                <w:sz w:val="21"/>
                <w:szCs w:val="21"/>
                <w:highlight w:val="none"/>
              </w:rPr>
              <w:t>2011年3月</w:t>
            </w:r>
          </w:p>
        </w:tc>
        <w:tc>
          <w:tcPr>
            <w:tcW w:w="812" w:type="dxa"/>
            <w:tcBorders>
              <w:top w:val="nil"/>
              <w:left w:val="nil"/>
              <w:bottom w:val="single" w:color="auto" w:sz="4" w:space="0"/>
              <w:right w:val="single" w:color="auto" w:sz="4" w:space="0"/>
            </w:tcBorders>
            <w:vAlign w:val="center"/>
          </w:tcPr>
          <w:p w14:paraId="31F6A165">
            <w:pPr>
              <w:widowControl/>
              <w:jc w:val="center"/>
              <w:rPr>
                <w:rFonts w:hAnsi="宋体"/>
                <w:color w:val="auto"/>
                <w:sz w:val="21"/>
                <w:szCs w:val="21"/>
                <w:highlight w:val="none"/>
              </w:rPr>
            </w:pPr>
            <w:r>
              <w:rPr>
                <w:rFonts w:hAnsi="宋体"/>
                <w:color w:val="auto"/>
                <w:sz w:val="21"/>
                <w:szCs w:val="21"/>
                <w:highlight w:val="none"/>
              </w:rPr>
              <w:t>2</w:t>
            </w:r>
          </w:p>
        </w:tc>
      </w:tr>
      <w:tr w14:paraId="39DB3393">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C052DF5">
            <w:pPr>
              <w:widowControl/>
              <w:jc w:val="center"/>
              <w:rPr>
                <w:rFonts w:hAnsi="宋体"/>
                <w:color w:val="auto"/>
                <w:sz w:val="21"/>
                <w:szCs w:val="21"/>
                <w:highlight w:val="none"/>
              </w:rPr>
            </w:pPr>
            <w:r>
              <w:rPr>
                <w:rFonts w:hAnsi="宋体"/>
                <w:color w:val="auto"/>
                <w:sz w:val="21"/>
                <w:szCs w:val="21"/>
                <w:highlight w:val="none"/>
              </w:rPr>
              <w:t>8</w:t>
            </w:r>
          </w:p>
        </w:tc>
        <w:tc>
          <w:tcPr>
            <w:tcW w:w="958" w:type="dxa"/>
            <w:tcBorders>
              <w:top w:val="nil"/>
              <w:left w:val="nil"/>
              <w:bottom w:val="single" w:color="auto" w:sz="4" w:space="0"/>
              <w:right w:val="single" w:color="auto" w:sz="4" w:space="0"/>
            </w:tcBorders>
            <w:vAlign w:val="center"/>
          </w:tcPr>
          <w:p w14:paraId="2FCD526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114B6670">
            <w:pPr>
              <w:widowControl/>
              <w:jc w:val="center"/>
              <w:rPr>
                <w:rFonts w:hAnsi="宋体"/>
                <w:color w:val="auto"/>
                <w:sz w:val="21"/>
                <w:szCs w:val="21"/>
                <w:highlight w:val="none"/>
              </w:rPr>
            </w:pPr>
            <w:r>
              <w:rPr>
                <w:rFonts w:hAnsi="宋体"/>
                <w:color w:val="auto"/>
                <w:sz w:val="21"/>
                <w:szCs w:val="21"/>
                <w:highlight w:val="none"/>
              </w:rPr>
              <w:t>推雪铲</w:t>
            </w:r>
          </w:p>
        </w:tc>
        <w:tc>
          <w:tcPr>
            <w:tcW w:w="1347" w:type="dxa"/>
            <w:tcBorders>
              <w:top w:val="nil"/>
              <w:left w:val="nil"/>
              <w:bottom w:val="single" w:color="auto" w:sz="4" w:space="0"/>
              <w:right w:val="single" w:color="auto" w:sz="4" w:space="0"/>
            </w:tcBorders>
            <w:vAlign w:val="center"/>
          </w:tcPr>
          <w:p w14:paraId="4999854D">
            <w:pPr>
              <w:widowControl/>
              <w:jc w:val="center"/>
              <w:rPr>
                <w:rFonts w:hAnsi="宋体"/>
                <w:color w:val="auto"/>
                <w:sz w:val="21"/>
                <w:szCs w:val="21"/>
                <w:highlight w:val="none"/>
              </w:rPr>
            </w:pPr>
            <w:r>
              <w:rPr>
                <w:rFonts w:hAnsi="宋体"/>
                <w:color w:val="auto"/>
                <w:sz w:val="21"/>
                <w:szCs w:val="21"/>
                <w:highlight w:val="none"/>
              </w:rPr>
              <w:t>太仓应急(003)</w:t>
            </w:r>
          </w:p>
        </w:tc>
        <w:tc>
          <w:tcPr>
            <w:tcW w:w="1239" w:type="dxa"/>
            <w:tcBorders>
              <w:top w:val="nil"/>
              <w:left w:val="nil"/>
              <w:bottom w:val="single" w:color="auto" w:sz="4" w:space="0"/>
              <w:right w:val="single" w:color="auto" w:sz="4" w:space="0"/>
            </w:tcBorders>
            <w:vAlign w:val="center"/>
          </w:tcPr>
          <w:p w14:paraId="3FA97129">
            <w:pPr>
              <w:widowControl/>
              <w:jc w:val="center"/>
              <w:rPr>
                <w:rFonts w:hAnsi="宋体"/>
                <w:color w:val="auto"/>
                <w:sz w:val="21"/>
                <w:szCs w:val="21"/>
                <w:highlight w:val="none"/>
              </w:rPr>
            </w:pPr>
            <w:r>
              <w:rPr>
                <w:rFonts w:hAnsi="宋体"/>
                <w:color w:val="auto"/>
                <w:sz w:val="21"/>
                <w:szCs w:val="21"/>
                <w:highlight w:val="none"/>
              </w:rPr>
              <w:t>2.5m</w:t>
            </w:r>
          </w:p>
        </w:tc>
        <w:tc>
          <w:tcPr>
            <w:tcW w:w="532" w:type="dxa"/>
            <w:tcBorders>
              <w:top w:val="nil"/>
              <w:left w:val="nil"/>
              <w:bottom w:val="single" w:color="auto" w:sz="4" w:space="0"/>
              <w:right w:val="single" w:color="auto" w:sz="4" w:space="0"/>
            </w:tcBorders>
            <w:vAlign w:val="center"/>
          </w:tcPr>
          <w:p w14:paraId="1EEE4C0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00C252A">
            <w:pPr>
              <w:widowControl/>
              <w:jc w:val="center"/>
              <w:rPr>
                <w:rFonts w:hAnsi="宋体"/>
                <w:color w:val="auto"/>
                <w:sz w:val="21"/>
                <w:szCs w:val="21"/>
                <w:highlight w:val="none"/>
              </w:rPr>
            </w:pPr>
            <w:r>
              <w:rPr>
                <w:rFonts w:hAnsi="宋体"/>
                <w:color w:val="auto"/>
                <w:sz w:val="21"/>
                <w:szCs w:val="21"/>
                <w:highlight w:val="none"/>
              </w:rPr>
              <w:t>YHD2200TXC</w:t>
            </w:r>
          </w:p>
        </w:tc>
        <w:tc>
          <w:tcPr>
            <w:tcW w:w="1143" w:type="dxa"/>
            <w:tcBorders>
              <w:top w:val="nil"/>
              <w:left w:val="nil"/>
              <w:bottom w:val="single" w:color="auto" w:sz="4" w:space="0"/>
              <w:right w:val="single" w:color="auto" w:sz="4" w:space="0"/>
            </w:tcBorders>
            <w:vAlign w:val="center"/>
          </w:tcPr>
          <w:p w14:paraId="7C0D6E13">
            <w:pPr>
              <w:widowControl/>
              <w:jc w:val="center"/>
              <w:rPr>
                <w:rFonts w:hAnsi="宋体"/>
                <w:color w:val="auto"/>
                <w:sz w:val="21"/>
                <w:szCs w:val="21"/>
                <w:highlight w:val="none"/>
              </w:rPr>
            </w:pPr>
            <w:r>
              <w:rPr>
                <w:rFonts w:hAnsi="宋体"/>
                <w:color w:val="auto"/>
                <w:sz w:val="21"/>
                <w:szCs w:val="21"/>
                <w:highlight w:val="none"/>
              </w:rPr>
              <w:t>海德</w:t>
            </w:r>
          </w:p>
        </w:tc>
        <w:tc>
          <w:tcPr>
            <w:tcW w:w="1424" w:type="dxa"/>
            <w:tcBorders>
              <w:top w:val="nil"/>
              <w:left w:val="nil"/>
              <w:bottom w:val="single" w:color="auto" w:sz="4" w:space="0"/>
              <w:right w:val="single" w:color="auto" w:sz="4" w:space="0"/>
            </w:tcBorders>
            <w:noWrap/>
            <w:vAlign w:val="center"/>
          </w:tcPr>
          <w:p w14:paraId="0F99D98E">
            <w:pPr>
              <w:widowControl/>
              <w:jc w:val="center"/>
              <w:rPr>
                <w:rFonts w:hAnsi="宋体"/>
                <w:color w:val="auto"/>
                <w:sz w:val="21"/>
                <w:szCs w:val="21"/>
                <w:highlight w:val="none"/>
              </w:rPr>
            </w:pPr>
            <w:r>
              <w:rPr>
                <w:rFonts w:hAnsi="宋体"/>
                <w:color w:val="auto"/>
                <w:sz w:val="21"/>
                <w:szCs w:val="21"/>
                <w:highlight w:val="none"/>
              </w:rPr>
              <w:t>2011年3月</w:t>
            </w:r>
          </w:p>
        </w:tc>
        <w:tc>
          <w:tcPr>
            <w:tcW w:w="812" w:type="dxa"/>
            <w:tcBorders>
              <w:top w:val="nil"/>
              <w:left w:val="nil"/>
              <w:bottom w:val="single" w:color="auto" w:sz="4" w:space="0"/>
              <w:right w:val="single" w:color="auto" w:sz="4" w:space="0"/>
            </w:tcBorders>
            <w:vAlign w:val="center"/>
          </w:tcPr>
          <w:p w14:paraId="1FB73D53">
            <w:pPr>
              <w:widowControl/>
              <w:jc w:val="center"/>
              <w:rPr>
                <w:rFonts w:hAnsi="宋体"/>
                <w:color w:val="auto"/>
                <w:sz w:val="21"/>
                <w:szCs w:val="21"/>
                <w:highlight w:val="none"/>
              </w:rPr>
            </w:pPr>
            <w:r>
              <w:rPr>
                <w:rFonts w:hAnsi="宋体"/>
                <w:color w:val="auto"/>
                <w:sz w:val="21"/>
                <w:szCs w:val="21"/>
                <w:highlight w:val="none"/>
              </w:rPr>
              <w:t>2</w:t>
            </w:r>
          </w:p>
        </w:tc>
      </w:tr>
      <w:tr w14:paraId="04E0C98C">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B18ED4F">
            <w:pPr>
              <w:widowControl/>
              <w:jc w:val="center"/>
              <w:rPr>
                <w:rFonts w:hAnsi="宋体"/>
                <w:color w:val="auto"/>
                <w:sz w:val="21"/>
                <w:szCs w:val="21"/>
                <w:highlight w:val="none"/>
              </w:rPr>
            </w:pPr>
            <w:r>
              <w:rPr>
                <w:rFonts w:hAnsi="宋体"/>
                <w:color w:val="auto"/>
                <w:sz w:val="21"/>
                <w:szCs w:val="21"/>
                <w:highlight w:val="none"/>
              </w:rPr>
              <w:t>9</w:t>
            </w:r>
          </w:p>
        </w:tc>
        <w:tc>
          <w:tcPr>
            <w:tcW w:w="958" w:type="dxa"/>
            <w:tcBorders>
              <w:top w:val="nil"/>
              <w:left w:val="nil"/>
              <w:bottom w:val="single" w:color="auto" w:sz="4" w:space="0"/>
              <w:right w:val="single" w:color="auto" w:sz="4" w:space="0"/>
            </w:tcBorders>
            <w:vAlign w:val="center"/>
          </w:tcPr>
          <w:p w14:paraId="069AFB0F">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098A3EC">
            <w:pPr>
              <w:widowControl/>
              <w:jc w:val="center"/>
              <w:rPr>
                <w:rFonts w:hAnsi="宋体"/>
                <w:color w:val="auto"/>
                <w:sz w:val="21"/>
                <w:szCs w:val="21"/>
                <w:highlight w:val="none"/>
              </w:rPr>
            </w:pPr>
            <w:r>
              <w:rPr>
                <w:rFonts w:hAnsi="宋体"/>
                <w:color w:val="auto"/>
                <w:sz w:val="21"/>
                <w:szCs w:val="21"/>
                <w:highlight w:val="none"/>
              </w:rPr>
              <w:t>推雪铲</w:t>
            </w:r>
          </w:p>
        </w:tc>
        <w:tc>
          <w:tcPr>
            <w:tcW w:w="1347" w:type="dxa"/>
            <w:tcBorders>
              <w:top w:val="nil"/>
              <w:left w:val="nil"/>
              <w:bottom w:val="single" w:color="auto" w:sz="4" w:space="0"/>
              <w:right w:val="single" w:color="auto" w:sz="4" w:space="0"/>
            </w:tcBorders>
            <w:vAlign w:val="center"/>
          </w:tcPr>
          <w:p w14:paraId="7FD770DC">
            <w:pPr>
              <w:widowControl/>
              <w:jc w:val="center"/>
              <w:rPr>
                <w:rFonts w:hAnsi="宋体"/>
                <w:color w:val="auto"/>
                <w:sz w:val="21"/>
                <w:szCs w:val="21"/>
                <w:highlight w:val="none"/>
              </w:rPr>
            </w:pPr>
            <w:r>
              <w:rPr>
                <w:rFonts w:hAnsi="宋体"/>
                <w:color w:val="auto"/>
                <w:sz w:val="21"/>
                <w:szCs w:val="21"/>
                <w:highlight w:val="none"/>
              </w:rPr>
              <w:t>太仓应急(004)</w:t>
            </w:r>
          </w:p>
        </w:tc>
        <w:tc>
          <w:tcPr>
            <w:tcW w:w="1239" w:type="dxa"/>
            <w:tcBorders>
              <w:top w:val="nil"/>
              <w:left w:val="nil"/>
              <w:bottom w:val="single" w:color="auto" w:sz="4" w:space="0"/>
              <w:right w:val="single" w:color="auto" w:sz="4" w:space="0"/>
            </w:tcBorders>
            <w:vAlign w:val="center"/>
          </w:tcPr>
          <w:p w14:paraId="1F384D63">
            <w:pPr>
              <w:widowControl/>
              <w:jc w:val="center"/>
              <w:rPr>
                <w:rFonts w:hAnsi="宋体"/>
                <w:color w:val="auto"/>
                <w:sz w:val="21"/>
                <w:szCs w:val="21"/>
                <w:highlight w:val="none"/>
              </w:rPr>
            </w:pPr>
            <w:r>
              <w:rPr>
                <w:rFonts w:hAnsi="宋体"/>
                <w:color w:val="auto"/>
                <w:sz w:val="21"/>
                <w:szCs w:val="21"/>
                <w:highlight w:val="none"/>
              </w:rPr>
              <w:t>2.5m</w:t>
            </w:r>
          </w:p>
        </w:tc>
        <w:tc>
          <w:tcPr>
            <w:tcW w:w="532" w:type="dxa"/>
            <w:tcBorders>
              <w:top w:val="nil"/>
              <w:left w:val="nil"/>
              <w:bottom w:val="single" w:color="auto" w:sz="4" w:space="0"/>
              <w:right w:val="single" w:color="auto" w:sz="4" w:space="0"/>
            </w:tcBorders>
            <w:vAlign w:val="center"/>
          </w:tcPr>
          <w:p w14:paraId="6C4F31C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D8EFB7E">
            <w:pPr>
              <w:widowControl/>
              <w:jc w:val="center"/>
              <w:rPr>
                <w:rFonts w:hAnsi="宋体"/>
                <w:color w:val="auto"/>
                <w:sz w:val="21"/>
                <w:szCs w:val="21"/>
                <w:highlight w:val="none"/>
              </w:rPr>
            </w:pPr>
            <w:r>
              <w:rPr>
                <w:rFonts w:hAnsi="宋体"/>
                <w:color w:val="auto"/>
                <w:sz w:val="21"/>
                <w:szCs w:val="21"/>
                <w:highlight w:val="none"/>
              </w:rPr>
              <w:t>YHD2200TXC</w:t>
            </w:r>
          </w:p>
        </w:tc>
        <w:tc>
          <w:tcPr>
            <w:tcW w:w="1143" w:type="dxa"/>
            <w:tcBorders>
              <w:top w:val="nil"/>
              <w:left w:val="nil"/>
              <w:bottom w:val="single" w:color="auto" w:sz="4" w:space="0"/>
              <w:right w:val="single" w:color="auto" w:sz="4" w:space="0"/>
            </w:tcBorders>
            <w:vAlign w:val="center"/>
          </w:tcPr>
          <w:p w14:paraId="78AAC927">
            <w:pPr>
              <w:widowControl/>
              <w:jc w:val="center"/>
              <w:rPr>
                <w:rFonts w:hAnsi="宋体"/>
                <w:color w:val="auto"/>
                <w:sz w:val="21"/>
                <w:szCs w:val="21"/>
                <w:highlight w:val="none"/>
              </w:rPr>
            </w:pPr>
            <w:r>
              <w:rPr>
                <w:rFonts w:hAnsi="宋体"/>
                <w:color w:val="auto"/>
                <w:sz w:val="21"/>
                <w:szCs w:val="21"/>
                <w:highlight w:val="none"/>
              </w:rPr>
              <w:t>海德</w:t>
            </w:r>
          </w:p>
        </w:tc>
        <w:tc>
          <w:tcPr>
            <w:tcW w:w="1424" w:type="dxa"/>
            <w:tcBorders>
              <w:top w:val="nil"/>
              <w:left w:val="nil"/>
              <w:bottom w:val="single" w:color="auto" w:sz="4" w:space="0"/>
              <w:right w:val="single" w:color="auto" w:sz="4" w:space="0"/>
            </w:tcBorders>
            <w:noWrap/>
            <w:vAlign w:val="center"/>
          </w:tcPr>
          <w:p w14:paraId="737C19D2">
            <w:pPr>
              <w:widowControl/>
              <w:jc w:val="center"/>
              <w:rPr>
                <w:rFonts w:hAnsi="宋体"/>
                <w:color w:val="auto"/>
                <w:sz w:val="21"/>
                <w:szCs w:val="21"/>
                <w:highlight w:val="none"/>
              </w:rPr>
            </w:pPr>
            <w:r>
              <w:rPr>
                <w:rFonts w:hAnsi="宋体"/>
                <w:color w:val="auto"/>
                <w:sz w:val="21"/>
                <w:szCs w:val="21"/>
                <w:highlight w:val="none"/>
              </w:rPr>
              <w:t>2011年3月</w:t>
            </w:r>
          </w:p>
        </w:tc>
        <w:tc>
          <w:tcPr>
            <w:tcW w:w="812" w:type="dxa"/>
            <w:tcBorders>
              <w:top w:val="nil"/>
              <w:left w:val="nil"/>
              <w:bottom w:val="single" w:color="auto" w:sz="4" w:space="0"/>
              <w:right w:val="single" w:color="auto" w:sz="4" w:space="0"/>
            </w:tcBorders>
            <w:vAlign w:val="center"/>
          </w:tcPr>
          <w:p w14:paraId="0CA31C2F">
            <w:pPr>
              <w:widowControl/>
              <w:jc w:val="center"/>
              <w:rPr>
                <w:rFonts w:hAnsi="宋体"/>
                <w:color w:val="auto"/>
                <w:sz w:val="21"/>
                <w:szCs w:val="21"/>
                <w:highlight w:val="none"/>
              </w:rPr>
            </w:pPr>
            <w:r>
              <w:rPr>
                <w:rFonts w:hAnsi="宋体"/>
                <w:color w:val="auto"/>
                <w:sz w:val="21"/>
                <w:szCs w:val="21"/>
                <w:highlight w:val="none"/>
              </w:rPr>
              <w:t>2</w:t>
            </w:r>
          </w:p>
        </w:tc>
      </w:tr>
      <w:tr w14:paraId="353D194B">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0A49CD3C">
            <w:pPr>
              <w:widowControl/>
              <w:jc w:val="center"/>
              <w:rPr>
                <w:rFonts w:hAnsi="宋体"/>
                <w:color w:val="auto"/>
                <w:sz w:val="21"/>
                <w:szCs w:val="21"/>
                <w:highlight w:val="none"/>
              </w:rPr>
            </w:pPr>
            <w:r>
              <w:rPr>
                <w:rFonts w:hAnsi="宋体"/>
                <w:color w:val="auto"/>
                <w:sz w:val="21"/>
                <w:szCs w:val="21"/>
                <w:highlight w:val="none"/>
              </w:rPr>
              <w:t>10</w:t>
            </w:r>
          </w:p>
        </w:tc>
        <w:tc>
          <w:tcPr>
            <w:tcW w:w="958" w:type="dxa"/>
            <w:tcBorders>
              <w:top w:val="nil"/>
              <w:left w:val="nil"/>
              <w:bottom w:val="single" w:color="auto" w:sz="4" w:space="0"/>
              <w:right w:val="single" w:color="auto" w:sz="4" w:space="0"/>
            </w:tcBorders>
            <w:vAlign w:val="center"/>
          </w:tcPr>
          <w:p w14:paraId="42B2EFF4">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28CD2AD">
            <w:pPr>
              <w:widowControl/>
              <w:jc w:val="center"/>
              <w:rPr>
                <w:rFonts w:hAnsi="宋体"/>
                <w:color w:val="auto"/>
                <w:sz w:val="21"/>
                <w:szCs w:val="21"/>
                <w:highlight w:val="none"/>
              </w:rPr>
            </w:pPr>
            <w:r>
              <w:rPr>
                <w:rFonts w:hAnsi="宋体"/>
                <w:color w:val="auto"/>
                <w:sz w:val="21"/>
                <w:szCs w:val="21"/>
                <w:highlight w:val="none"/>
              </w:rPr>
              <w:t>推雪板</w:t>
            </w:r>
          </w:p>
        </w:tc>
        <w:tc>
          <w:tcPr>
            <w:tcW w:w="1347" w:type="dxa"/>
            <w:tcBorders>
              <w:top w:val="nil"/>
              <w:left w:val="nil"/>
              <w:bottom w:val="single" w:color="auto" w:sz="4" w:space="0"/>
              <w:right w:val="single" w:color="auto" w:sz="4" w:space="0"/>
            </w:tcBorders>
            <w:vAlign w:val="center"/>
          </w:tcPr>
          <w:p w14:paraId="1EBCCF8D">
            <w:pPr>
              <w:widowControl/>
              <w:jc w:val="center"/>
              <w:rPr>
                <w:rFonts w:hAnsi="宋体"/>
                <w:color w:val="auto"/>
                <w:sz w:val="21"/>
                <w:szCs w:val="21"/>
                <w:highlight w:val="none"/>
              </w:rPr>
            </w:pPr>
            <w:r>
              <w:rPr>
                <w:rFonts w:hAnsi="宋体"/>
                <w:color w:val="auto"/>
                <w:sz w:val="21"/>
                <w:szCs w:val="21"/>
                <w:highlight w:val="none"/>
              </w:rPr>
              <w:t>太仓应急(005)</w:t>
            </w:r>
          </w:p>
        </w:tc>
        <w:tc>
          <w:tcPr>
            <w:tcW w:w="1239" w:type="dxa"/>
            <w:tcBorders>
              <w:top w:val="nil"/>
              <w:left w:val="nil"/>
              <w:bottom w:val="single" w:color="auto" w:sz="4" w:space="0"/>
              <w:right w:val="single" w:color="auto" w:sz="4" w:space="0"/>
            </w:tcBorders>
            <w:vAlign w:val="center"/>
          </w:tcPr>
          <w:p w14:paraId="6C31324F">
            <w:pPr>
              <w:widowControl/>
              <w:jc w:val="center"/>
              <w:rPr>
                <w:rFonts w:hAnsi="宋体"/>
                <w:color w:val="auto"/>
                <w:sz w:val="21"/>
                <w:szCs w:val="21"/>
                <w:highlight w:val="none"/>
              </w:rPr>
            </w:pPr>
            <w:r>
              <w:rPr>
                <w:rFonts w:hAnsi="宋体"/>
                <w:color w:val="auto"/>
                <w:sz w:val="21"/>
                <w:szCs w:val="21"/>
                <w:highlight w:val="none"/>
              </w:rPr>
              <w:t>3m</w:t>
            </w:r>
          </w:p>
        </w:tc>
        <w:tc>
          <w:tcPr>
            <w:tcW w:w="532" w:type="dxa"/>
            <w:tcBorders>
              <w:top w:val="nil"/>
              <w:left w:val="nil"/>
              <w:bottom w:val="single" w:color="auto" w:sz="4" w:space="0"/>
              <w:right w:val="single" w:color="auto" w:sz="4" w:space="0"/>
            </w:tcBorders>
            <w:vAlign w:val="center"/>
          </w:tcPr>
          <w:p w14:paraId="25485C60">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4FDED83">
            <w:pPr>
              <w:widowControl/>
              <w:jc w:val="center"/>
              <w:rPr>
                <w:rFonts w:hAnsi="宋体"/>
                <w:color w:val="auto"/>
                <w:sz w:val="21"/>
                <w:szCs w:val="21"/>
                <w:highlight w:val="none"/>
              </w:rPr>
            </w:pPr>
            <w:r>
              <w:rPr>
                <w:rFonts w:hAnsi="宋体"/>
                <w:color w:val="auto"/>
                <w:sz w:val="21"/>
                <w:szCs w:val="21"/>
                <w:highlight w:val="none"/>
              </w:rPr>
              <w:t>IDEA0301-3050</w:t>
            </w:r>
          </w:p>
        </w:tc>
        <w:tc>
          <w:tcPr>
            <w:tcW w:w="1143" w:type="dxa"/>
            <w:tcBorders>
              <w:top w:val="nil"/>
              <w:left w:val="nil"/>
              <w:bottom w:val="single" w:color="auto" w:sz="4" w:space="0"/>
              <w:right w:val="single" w:color="auto" w:sz="4" w:space="0"/>
            </w:tcBorders>
            <w:vAlign w:val="center"/>
          </w:tcPr>
          <w:p w14:paraId="57B881AA">
            <w:pPr>
              <w:widowControl/>
              <w:jc w:val="center"/>
              <w:rPr>
                <w:rFonts w:hAnsi="宋体"/>
                <w:color w:val="auto"/>
                <w:sz w:val="21"/>
                <w:szCs w:val="21"/>
                <w:highlight w:val="none"/>
              </w:rPr>
            </w:pPr>
            <w:r>
              <w:rPr>
                <w:rFonts w:hAnsi="宋体"/>
                <w:color w:val="auto"/>
                <w:sz w:val="21"/>
                <w:szCs w:val="21"/>
                <w:highlight w:val="none"/>
              </w:rPr>
              <w:t>艾迪尔</w:t>
            </w:r>
          </w:p>
        </w:tc>
        <w:tc>
          <w:tcPr>
            <w:tcW w:w="1424" w:type="dxa"/>
            <w:tcBorders>
              <w:top w:val="nil"/>
              <w:left w:val="nil"/>
              <w:bottom w:val="single" w:color="auto" w:sz="4" w:space="0"/>
              <w:right w:val="single" w:color="auto" w:sz="4" w:space="0"/>
            </w:tcBorders>
            <w:noWrap/>
            <w:vAlign w:val="center"/>
          </w:tcPr>
          <w:p w14:paraId="4264193A">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3A3E48CB">
            <w:pPr>
              <w:widowControl/>
              <w:jc w:val="center"/>
              <w:rPr>
                <w:rFonts w:hAnsi="宋体"/>
                <w:color w:val="auto"/>
                <w:sz w:val="21"/>
                <w:szCs w:val="21"/>
                <w:highlight w:val="none"/>
              </w:rPr>
            </w:pPr>
            <w:r>
              <w:rPr>
                <w:rFonts w:hAnsi="宋体"/>
                <w:color w:val="auto"/>
                <w:sz w:val="21"/>
                <w:szCs w:val="21"/>
                <w:highlight w:val="none"/>
              </w:rPr>
              <w:t>2</w:t>
            </w:r>
          </w:p>
        </w:tc>
      </w:tr>
      <w:tr w14:paraId="4452089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BA4D4C3">
            <w:pPr>
              <w:widowControl/>
              <w:jc w:val="center"/>
              <w:rPr>
                <w:rFonts w:hAnsi="宋体"/>
                <w:color w:val="auto"/>
                <w:sz w:val="21"/>
                <w:szCs w:val="21"/>
                <w:highlight w:val="none"/>
              </w:rPr>
            </w:pPr>
            <w:r>
              <w:rPr>
                <w:rFonts w:hAnsi="宋体"/>
                <w:color w:val="auto"/>
                <w:sz w:val="21"/>
                <w:szCs w:val="21"/>
                <w:highlight w:val="none"/>
              </w:rPr>
              <w:t>11</w:t>
            </w:r>
          </w:p>
        </w:tc>
        <w:tc>
          <w:tcPr>
            <w:tcW w:w="958" w:type="dxa"/>
            <w:tcBorders>
              <w:top w:val="nil"/>
              <w:left w:val="nil"/>
              <w:bottom w:val="single" w:color="auto" w:sz="4" w:space="0"/>
              <w:right w:val="single" w:color="auto" w:sz="4" w:space="0"/>
            </w:tcBorders>
            <w:vAlign w:val="center"/>
          </w:tcPr>
          <w:p w14:paraId="6574BC9A">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19E35E9">
            <w:pPr>
              <w:widowControl/>
              <w:jc w:val="center"/>
              <w:rPr>
                <w:rFonts w:hAnsi="宋体"/>
                <w:color w:val="auto"/>
                <w:sz w:val="21"/>
                <w:szCs w:val="21"/>
                <w:highlight w:val="none"/>
              </w:rPr>
            </w:pPr>
            <w:r>
              <w:rPr>
                <w:rFonts w:hAnsi="宋体"/>
                <w:color w:val="auto"/>
                <w:sz w:val="21"/>
                <w:szCs w:val="21"/>
                <w:highlight w:val="none"/>
              </w:rPr>
              <w:t>推雪板</w:t>
            </w:r>
          </w:p>
        </w:tc>
        <w:tc>
          <w:tcPr>
            <w:tcW w:w="1347" w:type="dxa"/>
            <w:tcBorders>
              <w:top w:val="nil"/>
              <w:left w:val="nil"/>
              <w:bottom w:val="single" w:color="auto" w:sz="4" w:space="0"/>
              <w:right w:val="single" w:color="auto" w:sz="4" w:space="0"/>
            </w:tcBorders>
            <w:vAlign w:val="center"/>
          </w:tcPr>
          <w:p w14:paraId="35B1D3C4">
            <w:pPr>
              <w:widowControl/>
              <w:jc w:val="center"/>
              <w:rPr>
                <w:rFonts w:hAnsi="宋体"/>
                <w:color w:val="auto"/>
                <w:sz w:val="21"/>
                <w:szCs w:val="21"/>
                <w:highlight w:val="none"/>
              </w:rPr>
            </w:pPr>
            <w:r>
              <w:rPr>
                <w:rFonts w:hAnsi="宋体"/>
                <w:color w:val="auto"/>
                <w:sz w:val="21"/>
                <w:szCs w:val="21"/>
                <w:highlight w:val="none"/>
              </w:rPr>
              <w:t>太仓应急(006)</w:t>
            </w:r>
          </w:p>
        </w:tc>
        <w:tc>
          <w:tcPr>
            <w:tcW w:w="1239" w:type="dxa"/>
            <w:tcBorders>
              <w:top w:val="nil"/>
              <w:left w:val="nil"/>
              <w:bottom w:val="single" w:color="auto" w:sz="4" w:space="0"/>
              <w:right w:val="single" w:color="auto" w:sz="4" w:space="0"/>
            </w:tcBorders>
            <w:vAlign w:val="center"/>
          </w:tcPr>
          <w:p w14:paraId="0FECE265">
            <w:pPr>
              <w:widowControl/>
              <w:jc w:val="center"/>
              <w:rPr>
                <w:rFonts w:hAnsi="宋体"/>
                <w:color w:val="auto"/>
                <w:sz w:val="21"/>
                <w:szCs w:val="21"/>
                <w:highlight w:val="none"/>
              </w:rPr>
            </w:pPr>
            <w:r>
              <w:rPr>
                <w:rFonts w:hAnsi="宋体"/>
                <w:color w:val="auto"/>
                <w:sz w:val="21"/>
                <w:szCs w:val="21"/>
                <w:highlight w:val="none"/>
              </w:rPr>
              <w:t>3m</w:t>
            </w:r>
          </w:p>
        </w:tc>
        <w:tc>
          <w:tcPr>
            <w:tcW w:w="532" w:type="dxa"/>
            <w:tcBorders>
              <w:top w:val="nil"/>
              <w:left w:val="nil"/>
              <w:bottom w:val="single" w:color="auto" w:sz="4" w:space="0"/>
              <w:right w:val="single" w:color="auto" w:sz="4" w:space="0"/>
            </w:tcBorders>
            <w:vAlign w:val="center"/>
          </w:tcPr>
          <w:p w14:paraId="03A2E8B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2FF0888D">
            <w:pPr>
              <w:widowControl/>
              <w:jc w:val="center"/>
              <w:rPr>
                <w:rFonts w:hAnsi="宋体"/>
                <w:color w:val="auto"/>
                <w:sz w:val="21"/>
                <w:szCs w:val="21"/>
                <w:highlight w:val="none"/>
              </w:rPr>
            </w:pPr>
            <w:r>
              <w:rPr>
                <w:rFonts w:hAnsi="宋体"/>
                <w:color w:val="auto"/>
                <w:sz w:val="21"/>
                <w:szCs w:val="21"/>
                <w:highlight w:val="none"/>
              </w:rPr>
              <w:t>IDEA0301-3050</w:t>
            </w:r>
          </w:p>
        </w:tc>
        <w:tc>
          <w:tcPr>
            <w:tcW w:w="1143" w:type="dxa"/>
            <w:tcBorders>
              <w:top w:val="nil"/>
              <w:left w:val="nil"/>
              <w:bottom w:val="single" w:color="auto" w:sz="4" w:space="0"/>
              <w:right w:val="single" w:color="auto" w:sz="4" w:space="0"/>
            </w:tcBorders>
            <w:vAlign w:val="center"/>
          </w:tcPr>
          <w:p w14:paraId="79416985">
            <w:pPr>
              <w:widowControl/>
              <w:jc w:val="center"/>
              <w:rPr>
                <w:rFonts w:hAnsi="宋体"/>
                <w:color w:val="auto"/>
                <w:sz w:val="21"/>
                <w:szCs w:val="21"/>
                <w:highlight w:val="none"/>
              </w:rPr>
            </w:pPr>
            <w:r>
              <w:rPr>
                <w:rFonts w:hAnsi="宋体"/>
                <w:color w:val="auto"/>
                <w:sz w:val="21"/>
                <w:szCs w:val="21"/>
                <w:highlight w:val="none"/>
              </w:rPr>
              <w:t>艾迪尔</w:t>
            </w:r>
          </w:p>
        </w:tc>
        <w:tc>
          <w:tcPr>
            <w:tcW w:w="1424" w:type="dxa"/>
            <w:tcBorders>
              <w:top w:val="nil"/>
              <w:left w:val="nil"/>
              <w:bottom w:val="single" w:color="auto" w:sz="4" w:space="0"/>
              <w:right w:val="single" w:color="auto" w:sz="4" w:space="0"/>
            </w:tcBorders>
            <w:noWrap/>
            <w:vAlign w:val="center"/>
          </w:tcPr>
          <w:p w14:paraId="44BF6E77">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2915C784">
            <w:pPr>
              <w:widowControl/>
              <w:jc w:val="center"/>
              <w:rPr>
                <w:rFonts w:hAnsi="宋体"/>
                <w:color w:val="auto"/>
                <w:sz w:val="21"/>
                <w:szCs w:val="21"/>
                <w:highlight w:val="none"/>
              </w:rPr>
            </w:pPr>
            <w:r>
              <w:rPr>
                <w:rFonts w:hAnsi="宋体"/>
                <w:color w:val="auto"/>
                <w:sz w:val="21"/>
                <w:szCs w:val="21"/>
                <w:highlight w:val="none"/>
              </w:rPr>
              <w:t>2</w:t>
            </w:r>
          </w:p>
        </w:tc>
      </w:tr>
      <w:tr w14:paraId="23EC58E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45A193E">
            <w:pPr>
              <w:widowControl/>
              <w:jc w:val="center"/>
              <w:rPr>
                <w:rFonts w:hAnsi="宋体"/>
                <w:color w:val="auto"/>
                <w:sz w:val="21"/>
                <w:szCs w:val="21"/>
                <w:highlight w:val="none"/>
              </w:rPr>
            </w:pPr>
            <w:r>
              <w:rPr>
                <w:rFonts w:hAnsi="宋体"/>
                <w:color w:val="auto"/>
                <w:sz w:val="21"/>
                <w:szCs w:val="21"/>
                <w:highlight w:val="none"/>
              </w:rPr>
              <w:t>12</w:t>
            </w:r>
          </w:p>
        </w:tc>
        <w:tc>
          <w:tcPr>
            <w:tcW w:w="958" w:type="dxa"/>
            <w:tcBorders>
              <w:top w:val="nil"/>
              <w:left w:val="nil"/>
              <w:bottom w:val="single" w:color="auto" w:sz="4" w:space="0"/>
              <w:right w:val="single" w:color="auto" w:sz="4" w:space="0"/>
            </w:tcBorders>
            <w:vAlign w:val="center"/>
          </w:tcPr>
          <w:p w14:paraId="6428B5E6">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1280A3A4">
            <w:pPr>
              <w:widowControl/>
              <w:jc w:val="center"/>
              <w:rPr>
                <w:rFonts w:hAnsi="宋体"/>
                <w:color w:val="auto"/>
                <w:sz w:val="21"/>
                <w:szCs w:val="21"/>
                <w:highlight w:val="none"/>
              </w:rPr>
            </w:pPr>
            <w:r>
              <w:rPr>
                <w:rFonts w:hAnsi="宋体"/>
                <w:color w:val="auto"/>
                <w:sz w:val="21"/>
                <w:szCs w:val="21"/>
                <w:highlight w:val="none"/>
              </w:rPr>
              <w:t>推雪板</w:t>
            </w:r>
          </w:p>
        </w:tc>
        <w:tc>
          <w:tcPr>
            <w:tcW w:w="1347" w:type="dxa"/>
            <w:tcBorders>
              <w:top w:val="nil"/>
              <w:left w:val="nil"/>
              <w:bottom w:val="single" w:color="auto" w:sz="4" w:space="0"/>
              <w:right w:val="single" w:color="auto" w:sz="4" w:space="0"/>
            </w:tcBorders>
            <w:vAlign w:val="center"/>
          </w:tcPr>
          <w:p w14:paraId="740EDB39">
            <w:pPr>
              <w:widowControl/>
              <w:jc w:val="center"/>
              <w:rPr>
                <w:rFonts w:hAnsi="宋体"/>
                <w:color w:val="auto"/>
                <w:sz w:val="21"/>
                <w:szCs w:val="21"/>
                <w:highlight w:val="none"/>
              </w:rPr>
            </w:pPr>
            <w:r>
              <w:rPr>
                <w:rFonts w:hAnsi="宋体"/>
                <w:color w:val="auto"/>
                <w:sz w:val="21"/>
                <w:szCs w:val="21"/>
                <w:highlight w:val="none"/>
              </w:rPr>
              <w:t>太仓应急(007)</w:t>
            </w:r>
          </w:p>
        </w:tc>
        <w:tc>
          <w:tcPr>
            <w:tcW w:w="1239" w:type="dxa"/>
            <w:tcBorders>
              <w:top w:val="nil"/>
              <w:left w:val="nil"/>
              <w:bottom w:val="single" w:color="auto" w:sz="4" w:space="0"/>
              <w:right w:val="single" w:color="auto" w:sz="4" w:space="0"/>
            </w:tcBorders>
            <w:vAlign w:val="center"/>
          </w:tcPr>
          <w:p w14:paraId="1E10DA2D">
            <w:pPr>
              <w:widowControl/>
              <w:jc w:val="center"/>
              <w:rPr>
                <w:rFonts w:hAnsi="宋体"/>
                <w:color w:val="auto"/>
                <w:sz w:val="21"/>
                <w:szCs w:val="21"/>
                <w:highlight w:val="none"/>
              </w:rPr>
            </w:pPr>
            <w:r>
              <w:rPr>
                <w:rFonts w:hAnsi="宋体"/>
                <w:color w:val="auto"/>
                <w:sz w:val="21"/>
                <w:szCs w:val="21"/>
                <w:highlight w:val="none"/>
              </w:rPr>
              <w:t>3m</w:t>
            </w:r>
          </w:p>
        </w:tc>
        <w:tc>
          <w:tcPr>
            <w:tcW w:w="532" w:type="dxa"/>
            <w:tcBorders>
              <w:top w:val="nil"/>
              <w:left w:val="nil"/>
              <w:bottom w:val="single" w:color="auto" w:sz="4" w:space="0"/>
              <w:right w:val="single" w:color="auto" w:sz="4" w:space="0"/>
            </w:tcBorders>
            <w:vAlign w:val="center"/>
          </w:tcPr>
          <w:p w14:paraId="0BAE39B3">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6E7985F">
            <w:pPr>
              <w:widowControl/>
              <w:jc w:val="center"/>
              <w:rPr>
                <w:rFonts w:hAnsi="宋体"/>
                <w:color w:val="auto"/>
                <w:sz w:val="21"/>
                <w:szCs w:val="21"/>
                <w:highlight w:val="none"/>
              </w:rPr>
            </w:pPr>
            <w:r>
              <w:rPr>
                <w:rFonts w:hAnsi="宋体"/>
                <w:color w:val="auto"/>
                <w:sz w:val="21"/>
                <w:szCs w:val="21"/>
                <w:highlight w:val="none"/>
              </w:rPr>
              <w:t>IDEA0301-3050</w:t>
            </w:r>
          </w:p>
        </w:tc>
        <w:tc>
          <w:tcPr>
            <w:tcW w:w="1143" w:type="dxa"/>
            <w:tcBorders>
              <w:top w:val="nil"/>
              <w:left w:val="nil"/>
              <w:bottom w:val="single" w:color="auto" w:sz="4" w:space="0"/>
              <w:right w:val="single" w:color="auto" w:sz="4" w:space="0"/>
            </w:tcBorders>
            <w:vAlign w:val="center"/>
          </w:tcPr>
          <w:p w14:paraId="72C2AAF9">
            <w:pPr>
              <w:widowControl/>
              <w:jc w:val="center"/>
              <w:rPr>
                <w:rFonts w:hAnsi="宋体"/>
                <w:color w:val="auto"/>
                <w:sz w:val="21"/>
                <w:szCs w:val="21"/>
                <w:highlight w:val="none"/>
              </w:rPr>
            </w:pPr>
            <w:r>
              <w:rPr>
                <w:rFonts w:hAnsi="宋体"/>
                <w:color w:val="auto"/>
                <w:sz w:val="21"/>
                <w:szCs w:val="21"/>
                <w:highlight w:val="none"/>
              </w:rPr>
              <w:t>艾迪尔</w:t>
            </w:r>
          </w:p>
        </w:tc>
        <w:tc>
          <w:tcPr>
            <w:tcW w:w="1424" w:type="dxa"/>
            <w:tcBorders>
              <w:top w:val="nil"/>
              <w:left w:val="nil"/>
              <w:bottom w:val="single" w:color="auto" w:sz="4" w:space="0"/>
              <w:right w:val="single" w:color="auto" w:sz="4" w:space="0"/>
            </w:tcBorders>
            <w:noWrap/>
            <w:vAlign w:val="center"/>
          </w:tcPr>
          <w:p w14:paraId="5A8EF360">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13642CE0">
            <w:pPr>
              <w:widowControl/>
              <w:jc w:val="center"/>
              <w:rPr>
                <w:rFonts w:hAnsi="宋体"/>
                <w:color w:val="auto"/>
                <w:sz w:val="21"/>
                <w:szCs w:val="21"/>
                <w:highlight w:val="none"/>
              </w:rPr>
            </w:pPr>
            <w:r>
              <w:rPr>
                <w:rFonts w:hAnsi="宋体"/>
                <w:color w:val="auto"/>
                <w:sz w:val="21"/>
                <w:szCs w:val="21"/>
                <w:highlight w:val="none"/>
              </w:rPr>
              <w:t>2</w:t>
            </w:r>
          </w:p>
        </w:tc>
      </w:tr>
      <w:tr w14:paraId="32CC1475">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92E0A85">
            <w:pPr>
              <w:widowControl/>
              <w:jc w:val="center"/>
              <w:rPr>
                <w:rFonts w:hAnsi="宋体"/>
                <w:color w:val="auto"/>
                <w:sz w:val="21"/>
                <w:szCs w:val="21"/>
                <w:highlight w:val="none"/>
              </w:rPr>
            </w:pPr>
            <w:r>
              <w:rPr>
                <w:rFonts w:hAnsi="宋体"/>
                <w:color w:val="auto"/>
                <w:sz w:val="21"/>
                <w:szCs w:val="21"/>
                <w:highlight w:val="none"/>
              </w:rPr>
              <w:t>13</w:t>
            </w:r>
          </w:p>
        </w:tc>
        <w:tc>
          <w:tcPr>
            <w:tcW w:w="958" w:type="dxa"/>
            <w:tcBorders>
              <w:top w:val="nil"/>
              <w:left w:val="nil"/>
              <w:bottom w:val="single" w:color="auto" w:sz="4" w:space="0"/>
              <w:right w:val="single" w:color="auto" w:sz="4" w:space="0"/>
            </w:tcBorders>
            <w:vAlign w:val="center"/>
          </w:tcPr>
          <w:p w14:paraId="2326FBF7">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6A4B20E2">
            <w:pPr>
              <w:widowControl/>
              <w:jc w:val="center"/>
              <w:rPr>
                <w:rFonts w:hAnsi="宋体"/>
                <w:color w:val="auto"/>
                <w:sz w:val="21"/>
                <w:szCs w:val="21"/>
                <w:highlight w:val="none"/>
              </w:rPr>
            </w:pPr>
            <w:r>
              <w:rPr>
                <w:rFonts w:hAnsi="宋体"/>
                <w:color w:val="auto"/>
                <w:sz w:val="21"/>
                <w:szCs w:val="21"/>
                <w:highlight w:val="none"/>
              </w:rPr>
              <w:t>小型融雪剂撒布机</w:t>
            </w:r>
          </w:p>
        </w:tc>
        <w:tc>
          <w:tcPr>
            <w:tcW w:w="1347" w:type="dxa"/>
            <w:tcBorders>
              <w:top w:val="nil"/>
              <w:left w:val="nil"/>
              <w:bottom w:val="single" w:color="auto" w:sz="4" w:space="0"/>
              <w:right w:val="single" w:color="auto" w:sz="4" w:space="0"/>
            </w:tcBorders>
            <w:vAlign w:val="center"/>
          </w:tcPr>
          <w:p w14:paraId="64D7DB4D">
            <w:pPr>
              <w:widowControl/>
              <w:jc w:val="center"/>
              <w:rPr>
                <w:rFonts w:hAnsi="宋体"/>
                <w:color w:val="auto"/>
                <w:sz w:val="21"/>
                <w:szCs w:val="21"/>
                <w:highlight w:val="none"/>
              </w:rPr>
            </w:pPr>
            <w:r>
              <w:rPr>
                <w:rFonts w:hAnsi="宋体"/>
                <w:color w:val="auto"/>
                <w:sz w:val="21"/>
                <w:szCs w:val="21"/>
                <w:highlight w:val="none"/>
              </w:rPr>
              <w:t>太仓应急(008)</w:t>
            </w:r>
          </w:p>
        </w:tc>
        <w:tc>
          <w:tcPr>
            <w:tcW w:w="1239" w:type="dxa"/>
            <w:tcBorders>
              <w:top w:val="nil"/>
              <w:left w:val="nil"/>
              <w:bottom w:val="single" w:color="auto" w:sz="4" w:space="0"/>
              <w:right w:val="single" w:color="auto" w:sz="4" w:space="0"/>
            </w:tcBorders>
            <w:vAlign w:val="center"/>
          </w:tcPr>
          <w:p w14:paraId="1E4CB11E">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200F9E6C">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E9AFB83">
            <w:pPr>
              <w:widowControl/>
              <w:jc w:val="center"/>
              <w:rPr>
                <w:rFonts w:hAnsi="宋体"/>
                <w:color w:val="auto"/>
                <w:sz w:val="21"/>
                <w:szCs w:val="21"/>
                <w:highlight w:val="none"/>
              </w:rPr>
            </w:pPr>
            <w:r>
              <w:rPr>
                <w:rFonts w:hAnsi="宋体"/>
                <w:color w:val="auto"/>
                <w:sz w:val="21"/>
                <w:szCs w:val="21"/>
                <w:highlight w:val="none"/>
              </w:rPr>
              <w:t>2500型</w:t>
            </w:r>
          </w:p>
        </w:tc>
        <w:tc>
          <w:tcPr>
            <w:tcW w:w="1143" w:type="dxa"/>
            <w:tcBorders>
              <w:top w:val="nil"/>
              <w:left w:val="nil"/>
              <w:bottom w:val="single" w:color="auto" w:sz="4" w:space="0"/>
              <w:right w:val="single" w:color="auto" w:sz="4" w:space="0"/>
            </w:tcBorders>
            <w:vAlign w:val="center"/>
          </w:tcPr>
          <w:p w14:paraId="765DAAFE">
            <w:pPr>
              <w:widowControl/>
              <w:jc w:val="center"/>
              <w:rPr>
                <w:rFonts w:hAnsi="宋体"/>
                <w:color w:val="auto"/>
                <w:sz w:val="21"/>
                <w:szCs w:val="21"/>
                <w:highlight w:val="none"/>
              </w:rPr>
            </w:pPr>
            <w:r>
              <w:rPr>
                <w:rFonts w:hAnsi="宋体"/>
                <w:color w:val="auto"/>
                <w:sz w:val="21"/>
                <w:szCs w:val="21"/>
                <w:highlight w:val="none"/>
              </w:rPr>
              <w:t>道格拉斯</w:t>
            </w:r>
          </w:p>
        </w:tc>
        <w:tc>
          <w:tcPr>
            <w:tcW w:w="1424" w:type="dxa"/>
            <w:tcBorders>
              <w:top w:val="nil"/>
              <w:left w:val="nil"/>
              <w:bottom w:val="single" w:color="auto" w:sz="4" w:space="0"/>
              <w:right w:val="single" w:color="auto" w:sz="4" w:space="0"/>
            </w:tcBorders>
            <w:noWrap/>
            <w:vAlign w:val="center"/>
          </w:tcPr>
          <w:p w14:paraId="7B3227A4">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3541DD07">
            <w:pPr>
              <w:widowControl/>
              <w:jc w:val="center"/>
              <w:rPr>
                <w:rFonts w:hAnsi="宋体"/>
                <w:color w:val="auto"/>
                <w:sz w:val="21"/>
                <w:szCs w:val="21"/>
                <w:highlight w:val="none"/>
              </w:rPr>
            </w:pPr>
            <w:r>
              <w:rPr>
                <w:rFonts w:hAnsi="宋体"/>
                <w:color w:val="auto"/>
                <w:sz w:val="21"/>
                <w:szCs w:val="21"/>
                <w:highlight w:val="none"/>
              </w:rPr>
              <w:t>2</w:t>
            </w:r>
          </w:p>
        </w:tc>
      </w:tr>
      <w:tr w14:paraId="4B905CC5">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99F8A1E">
            <w:pPr>
              <w:widowControl/>
              <w:jc w:val="center"/>
              <w:rPr>
                <w:rFonts w:hAnsi="宋体"/>
                <w:color w:val="auto"/>
                <w:sz w:val="21"/>
                <w:szCs w:val="21"/>
                <w:highlight w:val="none"/>
              </w:rPr>
            </w:pPr>
            <w:r>
              <w:rPr>
                <w:rFonts w:hAnsi="宋体"/>
                <w:color w:val="auto"/>
                <w:sz w:val="21"/>
                <w:szCs w:val="21"/>
                <w:highlight w:val="none"/>
              </w:rPr>
              <w:t>14</w:t>
            </w:r>
          </w:p>
        </w:tc>
        <w:tc>
          <w:tcPr>
            <w:tcW w:w="958" w:type="dxa"/>
            <w:tcBorders>
              <w:top w:val="nil"/>
              <w:left w:val="nil"/>
              <w:bottom w:val="single" w:color="auto" w:sz="4" w:space="0"/>
              <w:right w:val="single" w:color="auto" w:sz="4" w:space="0"/>
            </w:tcBorders>
            <w:vAlign w:val="center"/>
          </w:tcPr>
          <w:p w14:paraId="1EB8E9F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081D2A4C">
            <w:pPr>
              <w:widowControl/>
              <w:jc w:val="center"/>
              <w:rPr>
                <w:rFonts w:hAnsi="宋体"/>
                <w:color w:val="auto"/>
                <w:sz w:val="21"/>
                <w:szCs w:val="21"/>
                <w:highlight w:val="none"/>
              </w:rPr>
            </w:pPr>
            <w:r>
              <w:rPr>
                <w:rFonts w:hAnsi="宋体"/>
                <w:color w:val="auto"/>
                <w:sz w:val="21"/>
                <w:szCs w:val="21"/>
                <w:highlight w:val="none"/>
              </w:rPr>
              <w:t>小型融雪剂撒布机</w:t>
            </w:r>
          </w:p>
        </w:tc>
        <w:tc>
          <w:tcPr>
            <w:tcW w:w="1347" w:type="dxa"/>
            <w:tcBorders>
              <w:top w:val="nil"/>
              <w:left w:val="nil"/>
              <w:bottom w:val="single" w:color="auto" w:sz="4" w:space="0"/>
              <w:right w:val="single" w:color="auto" w:sz="4" w:space="0"/>
            </w:tcBorders>
            <w:vAlign w:val="center"/>
          </w:tcPr>
          <w:p w14:paraId="61E6F83E">
            <w:pPr>
              <w:widowControl/>
              <w:jc w:val="center"/>
              <w:rPr>
                <w:rFonts w:hAnsi="宋体"/>
                <w:color w:val="auto"/>
                <w:sz w:val="21"/>
                <w:szCs w:val="21"/>
                <w:highlight w:val="none"/>
              </w:rPr>
            </w:pPr>
            <w:r>
              <w:rPr>
                <w:rFonts w:hAnsi="宋体"/>
                <w:color w:val="auto"/>
                <w:sz w:val="21"/>
                <w:szCs w:val="21"/>
                <w:highlight w:val="none"/>
              </w:rPr>
              <w:t>太仓应急(009)</w:t>
            </w:r>
          </w:p>
        </w:tc>
        <w:tc>
          <w:tcPr>
            <w:tcW w:w="1239" w:type="dxa"/>
            <w:tcBorders>
              <w:top w:val="nil"/>
              <w:left w:val="nil"/>
              <w:bottom w:val="single" w:color="auto" w:sz="4" w:space="0"/>
              <w:right w:val="single" w:color="auto" w:sz="4" w:space="0"/>
            </w:tcBorders>
            <w:vAlign w:val="center"/>
          </w:tcPr>
          <w:p w14:paraId="015E1FA8">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154EA50B">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3E905E4">
            <w:pPr>
              <w:widowControl/>
              <w:jc w:val="center"/>
              <w:rPr>
                <w:rFonts w:hAnsi="宋体"/>
                <w:color w:val="auto"/>
                <w:sz w:val="21"/>
                <w:szCs w:val="21"/>
                <w:highlight w:val="none"/>
              </w:rPr>
            </w:pPr>
            <w:r>
              <w:rPr>
                <w:rFonts w:hAnsi="宋体"/>
                <w:color w:val="auto"/>
                <w:sz w:val="21"/>
                <w:szCs w:val="21"/>
                <w:highlight w:val="none"/>
              </w:rPr>
              <w:t>2500型</w:t>
            </w:r>
          </w:p>
        </w:tc>
        <w:tc>
          <w:tcPr>
            <w:tcW w:w="1143" w:type="dxa"/>
            <w:tcBorders>
              <w:top w:val="nil"/>
              <w:left w:val="nil"/>
              <w:bottom w:val="single" w:color="auto" w:sz="4" w:space="0"/>
              <w:right w:val="single" w:color="auto" w:sz="4" w:space="0"/>
            </w:tcBorders>
            <w:vAlign w:val="center"/>
          </w:tcPr>
          <w:p w14:paraId="05240754">
            <w:pPr>
              <w:widowControl/>
              <w:jc w:val="center"/>
              <w:rPr>
                <w:rFonts w:hAnsi="宋体"/>
                <w:color w:val="auto"/>
                <w:sz w:val="21"/>
                <w:szCs w:val="21"/>
                <w:highlight w:val="none"/>
              </w:rPr>
            </w:pPr>
            <w:r>
              <w:rPr>
                <w:rFonts w:hAnsi="宋体"/>
                <w:color w:val="auto"/>
                <w:sz w:val="21"/>
                <w:szCs w:val="21"/>
                <w:highlight w:val="none"/>
              </w:rPr>
              <w:t>道格拉斯</w:t>
            </w:r>
          </w:p>
        </w:tc>
        <w:tc>
          <w:tcPr>
            <w:tcW w:w="1424" w:type="dxa"/>
            <w:tcBorders>
              <w:top w:val="nil"/>
              <w:left w:val="nil"/>
              <w:bottom w:val="single" w:color="auto" w:sz="4" w:space="0"/>
              <w:right w:val="single" w:color="auto" w:sz="4" w:space="0"/>
            </w:tcBorders>
            <w:noWrap/>
            <w:vAlign w:val="center"/>
          </w:tcPr>
          <w:p w14:paraId="26E7B2F3">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139C71F8">
            <w:pPr>
              <w:widowControl/>
              <w:jc w:val="center"/>
              <w:rPr>
                <w:rFonts w:hAnsi="宋体"/>
                <w:color w:val="auto"/>
                <w:sz w:val="21"/>
                <w:szCs w:val="21"/>
                <w:highlight w:val="none"/>
              </w:rPr>
            </w:pPr>
            <w:r>
              <w:rPr>
                <w:rFonts w:hAnsi="宋体"/>
                <w:color w:val="auto"/>
                <w:sz w:val="21"/>
                <w:szCs w:val="21"/>
                <w:highlight w:val="none"/>
              </w:rPr>
              <w:t>2</w:t>
            </w:r>
          </w:p>
        </w:tc>
      </w:tr>
      <w:tr w14:paraId="2F9B75D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2D17E3A">
            <w:pPr>
              <w:widowControl/>
              <w:jc w:val="center"/>
              <w:rPr>
                <w:rFonts w:hAnsi="宋体"/>
                <w:color w:val="auto"/>
                <w:sz w:val="21"/>
                <w:szCs w:val="21"/>
                <w:highlight w:val="none"/>
              </w:rPr>
            </w:pPr>
            <w:r>
              <w:rPr>
                <w:rFonts w:hAnsi="宋体"/>
                <w:color w:val="auto"/>
                <w:sz w:val="21"/>
                <w:szCs w:val="21"/>
                <w:highlight w:val="none"/>
              </w:rPr>
              <w:t>15</w:t>
            </w:r>
          </w:p>
        </w:tc>
        <w:tc>
          <w:tcPr>
            <w:tcW w:w="958" w:type="dxa"/>
            <w:tcBorders>
              <w:top w:val="nil"/>
              <w:left w:val="nil"/>
              <w:bottom w:val="single" w:color="auto" w:sz="4" w:space="0"/>
              <w:right w:val="single" w:color="auto" w:sz="4" w:space="0"/>
            </w:tcBorders>
            <w:vAlign w:val="center"/>
          </w:tcPr>
          <w:p w14:paraId="7D43ED15">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2C330C9">
            <w:pPr>
              <w:widowControl/>
              <w:jc w:val="center"/>
              <w:rPr>
                <w:rFonts w:hAnsi="宋体"/>
                <w:color w:val="auto"/>
                <w:sz w:val="21"/>
                <w:szCs w:val="21"/>
                <w:highlight w:val="none"/>
              </w:rPr>
            </w:pPr>
            <w:r>
              <w:rPr>
                <w:rFonts w:hAnsi="宋体"/>
                <w:color w:val="auto"/>
                <w:sz w:val="21"/>
                <w:szCs w:val="21"/>
                <w:highlight w:val="none"/>
              </w:rPr>
              <w:t>小型融雪剂撒布机</w:t>
            </w:r>
          </w:p>
        </w:tc>
        <w:tc>
          <w:tcPr>
            <w:tcW w:w="1347" w:type="dxa"/>
            <w:tcBorders>
              <w:top w:val="nil"/>
              <w:left w:val="nil"/>
              <w:bottom w:val="single" w:color="auto" w:sz="4" w:space="0"/>
              <w:right w:val="single" w:color="auto" w:sz="4" w:space="0"/>
            </w:tcBorders>
            <w:vAlign w:val="center"/>
          </w:tcPr>
          <w:p w14:paraId="63EADDA1">
            <w:pPr>
              <w:widowControl/>
              <w:jc w:val="center"/>
              <w:rPr>
                <w:rFonts w:hAnsi="宋体"/>
                <w:color w:val="auto"/>
                <w:sz w:val="21"/>
                <w:szCs w:val="21"/>
                <w:highlight w:val="none"/>
              </w:rPr>
            </w:pPr>
            <w:r>
              <w:rPr>
                <w:rFonts w:hAnsi="宋体"/>
                <w:color w:val="auto"/>
                <w:sz w:val="21"/>
                <w:szCs w:val="21"/>
                <w:highlight w:val="none"/>
              </w:rPr>
              <w:t>太仓应急(010)</w:t>
            </w:r>
          </w:p>
        </w:tc>
        <w:tc>
          <w:tcPr>
            <w:tcW w:w="1239" w:type="dxa"/>
            <w:tcBorders>
              <w:top w:val="nil"/>
              <w:left w:val="nil"/>
              <w:bottom w:val="single" w:color="auto" w:sz="4" w:space="0"/>
              <w:right w:val="single" w:color="auto" w:sz="4" w:space="0"/>
            </w:tcBorders>
            <w:vAlign w:val="center"/>
          </w:tcPr>
          <w:p w14:paraId="10A9DA0A">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24331B38">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B2F6805">
            <w:pPr>
              <w:widowControl/>
              <w:jc w:val="center"/>
              <w:rPr>
                <w:rFonts w:hAnsi="宋体"/>
                <w:color w:val="auto"/>
                <w:sz w:val="21"/>
                <w:szCs w:val="21"/>
                <w:highlight w:val="none"/>
              </w:rPr>
            </w:pPr>
            <w:r>
              <w:rPr>
                <w:rFonts w:hAnsi="宋体"/>
                <w:color w:val="auto"/>
                <w:sz w:val="21"/>
                <w:szCs w:val="21"/>
                <w:highlight w:val="none"/>
              </w:rPr>
              <w:t>2500型</w:t>
            </w:r>
          </w:p>
        </w:tc>
        <w:tc>
          <w:tcPr>
            <w:tcW w:w="1143" w:type="dxa"/>
            <w:tcBorders>
              <w:top w:val="nil"/>
              <w:left w:val="nil"/>
              <w:bottom w:val="single" w:color="auto" w:sz="4" w:space="0"/>
              <w:right w:val="single" w:color="auto" w:sz="4" w:space="0"/>
            </w:tcBorders>
            <w:vAlign w:val="center"/>
          </w:tcPr>
          <w:p w14:paraId="05A4143A">
            <w:pPr>
              <w:widowControl/>
              <w:jc w:val="center"/>
              <w:rPr>
                <w:rFonts w:hAnsi="宋体"/>
                <w:color w:val="auto"/>
                <w:sz w:val="21"/>
                <w:szCs w:val="21"/>
                <w:highlight w:val="none"/>
              </w:rPr>
            </w:pPr>
            <w:r>
              <w:rPr>
                <w:rFonts w:hAnsi="宋体"/>
                <w:color w:val="auto"/>
                <w:sz w:val="21"/>
                <w:szCs w:val="21"/>
                <w:highlight w:val="none"/>
              </w:rPr>
              <w:t>道格拉斯</w:t>
            </w:r>
          </w:p>
        </w:tc>
        <w:tc>
          <w:tcPr>
            <w:tcW w:w="1424" w:type="dxa"/>
            <w:tcBorders>
              <w:top w:val="nil"/>
              <w:left w:val="nil"/>
              <w:bottom w:val="single" w:color="auto" w:sz="4" w:space="0"/>
              <w:right w:val="single" w:color="auto" w:sz="4" w:space="0"/>
            </w:tcBorders>
            <w:noWrap/>
            <w:vAlign w:val="center"/>
          </w:tcPr>
          <w:p w14:paraId="45D66B3F">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2CB5BD99">
            <w:pPr>
              <w:widowControl/>
              <w:jc w:val="center"/>
              <w:rPr>
                <w:rFonts w:hAnsi="宋体"/>
                <w:color w:val="auto"/>
                <w:sz w:val="21"/>
                <w:szCs w:val="21"/>
                <w:highlight w:val="none"/>
              </w:rPr>
            </w:pPr>
            <w:r>
              <w:rPr>
                <w:rFonts w:hAnsi="宋体"/>
                <w:color w:val="auto"/>
                <w:sz w:val="21"/>
                <w:szCs w:val="21"/>
                <w:highlight w:val="none"/>
              </w:rPr>
              <w:t>2</w:t>
            </w:r>
          </w:p>
        </w:tc>
      </w:tr>
      <w:tr w14:paraId="2BB7B632">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DC856F3">
            <w:pPr>
              <w:widowControl/>
              <w:jc w:val="center"/>
              <w:rPr>
                <w:rFonts w:hAnsi="宋体"/>
                <w:color w:val="auto"/>
                <w:sz w:val="21"/>
                <w:szCs w:val="21"/>
                <w:highlight w:val="none"/>
              </w:rPr>
            </w:pPr>
            <w:r>
              <w:rPr>
                <w:rFonts w:hAnsi="宋体"/>
                <w:color w:val="auto"/>
                <w:sz w:val="21"/>
                <w:szCs w:val="21"/>
                <w:highlight w:val="none"/>
              </w:rPr>
              <w:t>16</w:t>
            </w:r>
          </w:p>
        </w:tc>
        <w:tc>
          <w:tcPr>
            <w:tcW w:w="958" w:type="dxa"/>
            <w:tcBorders>
              <w:top w:val="nil"/>
              <w:left w:val="nil"/>
              <w:bottom w:val="single" w:color="auto" w:sz="4" w:space="0"/>
              <w:right w:val="single" w:color="auto" w:sz="4" w:space="0"/>
            </w:tcBorders>
            <w:vAlign w:val="center"/>
          </w:tcPr>
          <w:p w14:paraId="21BD8F98">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23034D6">
            <w:pPr>
              <w:widowControl/>
              <w:jc w:val="center"/>
              <w:rPr>
                <w:rFonts w:hAnsi="宋体"/>
                <w:color w:val="auto"/>
                <w:sz w:val="21"/>
                <w:szCs w:val="21"/>
                <w:highlight w:val="none"/>
              </w:rPr>
            </w:pPr>
            <w:r>
              <w:rPr>
                <w:rFonts w:hAnsi="宋体"/>
                <w:color w:val="auto"/>
                <w:sz w:val="21"/>
                <w:szCs w:val="21"/>
                <w:highlight w:val="none"/>
              </w:rPr>
              <w:t>小型融雪剂撒布机</w:t>
            </w:r>
          </w:p>
        </w:tc>
        <w:tc>
          <w:tcPr>
            <w:tcW w:w="1347" w:type="dxa"/>
            <w:tcBorders>
              <w:top w:val="nil"/>
              <w:left w:val="nil"/>
              <w:bottom w:val="single" w:color="auto" w:sz="4" w:space="0"/>
              <w:right w:val="single" w:color="auto" w:sz="4" w:space="0"/>
            </w:tcBorders>
            <w:vAlign w:val="center"/>
          </w:tcPr>
          <w:p w14:paraId="55E87629">
            <w:pPr>
              <w:widowControl/>
              <w:jc w:val="center"/>
              <w:rPr>
                <w:rFonts w:hAnsi="宋体"/>
                <w:color w:val="auto"/>
                <w:sz w:val="21"/>
                <w:szCs w:val="21"/>
                <w:highlight w:val="none"/>
              </w:rPr>
            </w:pPr>
            <w:r>
              <w:rPr>
                <w:rFonts w:hAnsi="宋体"/>
                <w:color w:val="auto"/>
                <w:sz w:val="21"/>
                <w:szCs w:val="21"/>
                <w:highlight w:val="none"/>
              </w:rPr>
              <w:t>太仓应急(011)</w:t>
            </w:r>
          </w:p>
        </w:tc>
        <w:tc>
          <w:tcPr>
            <w:tcW w:w="1239" w:type="dxa"/>
            <w:tcBorders>
              <w:top w:val="nil"/>
              <w:left w:val="nil"/>
              <w:bottom w:val="single" w:color="auto" w:sz="4" w:space="0"/>
              <w:right w:val="single" w:color="auto" w:sz="4" w:space="0"/>
            </w:tcBorders>
            <w:vAlign w:val="center"/>
          </w:tcPr>
          <w:p w14:paraId="26D8C03E">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681D40F8">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E1711B5">
            <w:pPr>
              <w:widowControl/>
              <w:jc w:val="center"/>
              <w:rPr>
                <w:rFonts w:hAnsi="宋体"/>
                <w:color w:val="auto"/>
                <w:sz w:val="21"/>
                <w:szCs w:val="21"/>
                <w:highlight w:val="none"/>
              </w:rPr>
            </w:pPr>
            <w:r>
              <w:rPr>
                <w:rFonts w:hAnsi="宋体"/>
                <w:color w:val="auto"/>
                <w:sz w:val="21"/>
                <w:szCs w:val="21"/>
                <w:highlight w:val="none"/>
              </w:rPr>
              <w:t>2500型</w:t>
            </w:r>
          </w:p>
        </w:tc>
        <w:tc>
          <w:tcPr>
            <w:tcW w:w="1143" w:type="dxa"/>
            <w:tcBorders>
              <w:top w:val="nil"/>
              <w:left w:val="nil"/>
              <w:bottom w:val="single" w:color="auto" w:sz="4" w:space="0"/>
              <w:right w:val="single" w:color="auto" w:sz="4" w:space="0"/>
            </w:tcBorders>
            <w:vAlign w:val="center"/>
          </w:tcPr>
          <w:p w14:paraId="7633416A">
            <w:pPr>
              <w:widowControl/>
              <w:jc w:val="center"/>
              <w:rPr>
                <w:rFonts w:hAnsi="宋体"/>
                <w:color w:val="auto"/>
                <w:sz w:val="21"/>
                <w:szCs w:val="21"/>
                <w:highlight w:val="none"/>
              </w:rPr>
            </w:pPr>
            <w:r>
              <w:rPr>
                <w:rFonts w:hAnsi="宋体"/>
                <w:color w:val="auto"/>
                <w:sz w:val="21"/>
                <w:szCs w:val="21"/>
                <w:highlight w:val="none"/>
              </w:rPr>
              <w:t>道格拉斯</w:t>
            </w:r>
          </w:p>
        </w:tc>
        <w:tc>
          <w:tcPr>
            <w:tcW w:w="1424" w:type="dxa"/>
            <w:tcBorders>
              <w:top w:val="nil"/>
              <w:left w:val="nil"/>
              <w:bottom w:val="single" w:color="auto" w:sz="4" w:space="0"/>
              <w:right w:val="single" w:color="auto" w:sz="4" w:space="0"/>
            </w:tcBorders>
            <w:noWrap/>
            <w:vAlign w:val="center"/>
          </w:tcPr>
          <w:p w14:paraId="3DA7DEE0">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0B75C718">
            <w:pPr>
              <w:widowControl/>
              <w:jc w:val="center"/>
              <w:rPr>
                <w:rFonts w:hAnsi="宋体"/>
                <w:color w:val="auto"/>
                <w:sz w:val="21"/>
                <w:szCs w:val="21"/>
                <w:highlight w:val="none"/>
              </w:rPr>
            </w:pPr>
            <w:r>
              <w:rPr>
                <w:rFonts w:hAnsi="宋体"/>
                <w:color w:val="auto"/>
                <w:sz w:val="21"/>
                <w:szCs w:val="21"/>
                <w:highlight w:val="none"/>
              </w:rPr>
              <w:t>2</w:t>
            </w:r>
          </w:p>
        </w:tc>
      </w:tr>
      <w:tr w14:paraId="3BD82DBB">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533AC30">
            <w:pPr>
              <w:widowControl/>
              <w:jc w:val="center"/>
              <w:rPr>
                <w:rFonts w:hAnsi="宋体"/>
                <w:color w:val="auto"/>
                <w:sz w:val="21"/>
                <w:szCs w:val="21"/>
                <w:highlight w:val="none"/>
              </w:rPr>
            </w:pPr>
            <w:r>
              <w:rPr>
                <w:rFonts w:hAnsi="宋体"/>
                <w:color w:val="auto"/>
                <w:sz w:val="21"/>
                <w:szCs w:val="21"/>
                <w:highlight w:val="none"/>
              </w:rPr>
              <w:t>17</w:t>
            </w:r>
          </w:p>
        </w:tc>
        <w:tc>
          <w:tcPr>
            <w:tcW w:w="958" w:type="dxa"/>
            <w:tcBorders>
              <w:top w:val="nil"/>
              <w:left w:val="nil"/>
              <w:bottom w:val="single" w:color="auto" w:sz="4" w:space="0"/>
              <w:right w:val="single" w:color="auto" w:sz="4" w:space="0"/>
            </w:tcBorders>
            <w:vAlign w:val="center"/>
          </w:tcPr>
          <w:p w14:paraId="60364D81">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911097C">
            <w:pPr>
              <w:widowControl/>
              <w:jc w:val="center"/>
              <w:rPr>
                <w:rFonts w:hAnsi="宋体"/>
                <w:color w:val="auto"/>
                <w:sz w:val="21"/>
                <w:szCs w:val="21"/>
                <w:highlight w:val="none"/>
              </w:rPr>
            </w:pPr>
            <w:r>
              <w:rPr>
                <w:rFonts w:hAnsi="宋体"/>
                <w:color w:val="auto"/>
                <w:sz w:val="21"/>
                <w:szCs w:val="21"/>
                <w:highlight w:val="none"/>
              </w:rPr>
              <w:t>扫雪滚刷</w:t>
            </w:r>
          </w:p>
        </w:tc>
        <w:tc>
          <w:tcPr>
            <w:tcW w:w="1347" w:type="dxa"/>
            <w:tcBorders>
              <w:top w:val="nil"/>
              <w:left w:val="nil"/>
              <w:bottom w:val="single" w:color="auto" w:sz="4" w:space="0"/>
              <w:right w:val="single" w:color="auto" w:sz="4" w:space="0"/>
            </w:tcBorders>
            <w:vAlign w:val="center"/>
          </w:tcPr>
          <w:p w14:paraId="16366692">
            <w:pPr>
              <w:widowControl/>
              <w:jc w:val="center"/>
              <w:rPr>
                <w:rFonts w:hAnsi="宋体"/>
                <w:color w:val="auto"/>
                <w:sz w:val="21"/>
                <w:szCs w:val="21"/>
                <w:highlight w:val="none"/>
              </w:rPr>
            </w:pPr>
            <w:r>
              <w:rPr>
                <w:rFonts w:hAnsi="宋体"/>
                <w:color w:val="auto"/>
                <w:sz w:val="21"/>
                <w:szCs w:val="21"/>
                <w:highlight w:val="none"/>
              </w:rPr>
              <w:t>太仓应急(012)</w:t>
            </w:r>
          </w:p>
        </w:tc>
        <w:tc>
          <w:tcPr>
            <w:tcW w:w="1239" w:type="dxa"/>
            <w:tcBorders>
              <w:top w:val="nil"/>
              <w:left w:val="nil"/>
              <w:bottom w:val="single" w:color="auto" w:sz="4" w:space="0"/>
              <w:right w:val="single" w:color="auto" w:sz="4" w:space="0"/>
            </w:tcBorders>
            <w:vAlign w:val="center"/>
          </w:tcPr>
          <w:p w14:paraId="1B30FDC0">
            <w:pPr>
              <w:widowControl/>
              <w:jc w:val="center"/>
              <w:rPr>
                <w:rFonts w:hAnsi="宋体"/>
                <w:color w:val="auto"/>
                <w:sz w:val="21"/>
                <w:szCs w:val="21"/>
                <w:highlight w:val="none"/>
              </w:rPr>
            </w:pPr>
            <w:r>
              <w:rPr>
                <w:rFonts w:hAnsi="宋体"/>
                <w:color w:val="auto"/>
                <w:sz w:val="21"/>
                <w:szCs w:val="21"/>
                <w:highlight w:val="none"/>
              </w:rPr>
              <w:t>3.3m</w:t>
            </w:r>
          </w:p>
        </w:tc>
        <w:tc>
          <w:tcPr>
            <w:tcW w:w="532" w:type="dxa"/>
            <w:tcBorders>
              <w:top w:val="nil"/>
              <w:left w:val="nil"/>
              <w:bottom w:val="single" w:color="auto" w:sz="4" w:space="0"/>
              <w:right w:val="single" w:color="auto" w:sz="4" w:space="0"/>
            </w:tcBorders>
            <w:vAlign w:val="center"/>
          </w:tcPr>
          <w:p w14:paraId="7073CD6F">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3DB152E">
            <w:pPr>
              <w:widowControl/>
              <w:jc w:val="center"/>
              <w:rPr>
                <w:rFonts w:hAnsi="宋体"/>
                <w:color w:val="auto"/>
                <w:sz w:val="21"/>
                <w:szCs w:val="21"/>
                <w:highlight w:val="none"/>
              </w:rPr>
            </w:pPr>
            <w:r>
              <w:rPr>
                <w:rFonts w:hAnsi="宋体"/>
                <w:color w:val="auto"/>
                <w:sz w:val="21"/>
                <w:szCs w:val="21"/>
                <w:highlight w:val="none"/>
              </w:rPr>
              <w:t>QSJ-A-6000</w:t>
            </w:r>
          </w:p>
        </w:tc>
        <w:tc>
          <w:tcPr>
            <w:tcW w:w="1143" w:type="dxa"/>
            <w:tcBorders>
              <w:top w:val="nil"/>
              <w:left w:val="nil"/>
              <w:bottom w:val="single" w:color="auto" w:sz="4" w:space="0"/>
              <w:right w:val="single" w:color="auto" w:sz="4" w:space="0"/>
            </w:tcBorders>
            <w:vAlign w:val="center"/>
          </w:tcPr>
          <w:p w14:paraId="20E20329">
            <w:pPr>
              <w:widowControl/>
              <w:jc w:val="center"/>
              <w:rPr>
                <w:rFonts w:hAnsi="宋体"/>
                <w:color w:val="auto"/>
                <w:sz w:val="21"/>
                <w:szCs w:val="21"/>
                <w:highlight w:val="none"/>
              </w:rPr>
            </w:pPr>
            <w:r>
              <w:rPr>
                <w:rFonts w:hAnsi="宋体"/>
                <w:color w:val="auto"/>
                <w:sz w:val="21"/>
                <w:szCs w:val="21"/>
                <w:highlight w:val="none"/>
              </w:rPr>
              <w:t>天信</w:t>
            </w:r>
          </w:p>
        </w:tc>
        <w:tc>
          <w:tcPr>
            <w:tcW w:w="1424" w:type="dxa"/>
            <w:tcBorders>
              <w:top w:val="nil"/>
              <w:left w:val="nil"/>
              <w:bottom w:val="single" w:color="auto" w:sz="4" w:space="0"/>
              <w:right w:val="single" w:color="auto" w:sz="4" w:space="0"/>
            </w:tcBorders>
            <w:noWrap/>
            <w:vAlign w:val="center"/>
          </w:tcPr>
          <w:p w14:paraId="394D224E">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102FF4E4">
            <w:pPr>
              <w:widowControl/>
              <w:jc w:val="center"/>
              <w:rPr>
                <w:rFonts w:hAnsi="宋体"/>
                <w:color w:val="auto"/>
                <w:sz w:val="21"/>
                <w:szCs w:val="21"/>
                <w:highlight w:val="none"/>
              </w:rPr>
            </w:pPr>
            <w:r>
              <w:rPr>
                <w:rFonts w:hAnsi="宋体"/>
                <w:color w:val="auto"/>
                <w:sz w:val="21"/>
                <w:szCs w:val="21"/>
                <w:highlight w:val="none"/>
              </w:rPr>
              <w:t>2</w:t>
            </w:r>
          </w:p>
        </w:tc>
      </w:tr>
      <w:tr w14:paraId="4B441C7E">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3E3C545">
            <w:pPr>
              <w:widowControl/>
              <w:jc w:val="center"/>
              <w:rPr>
                <w:rFonts w:hAnsi="宋体"/>
                <w:color w:val="auto"/>
                <w:sz w:val="21"/>
                <w:szCs w:val="21"/>
                <w:highlight w:val="none"/>
              </w:rPr>
            </w:pPr>
            <w:r>
              <w:rPr>
                <w:rFonts w:hAnsi="宋体"/>
                <w:color w:val="auto"/>
                <w:sz w:val="21"/>
                <w:szCs w:val="21"/>
                <w:highlight w:val="none"/>
              </w:rPr>
              <w:t>18</w:t>
            </w:r>
          </w:p>
        </w:tc>
        <w:tc>
          <w:tcPr>
            <w:tcW w:w="958" w:type="dxa"/>
            <w:tcBorders>
              <w:top w:val="nil"/>
              <w:left w:val="nil"/>
              <w:bottom w:val="single" w:color="auto" w:sz="4" w:space="0"/>
              <w:right w:val="single" w:color="auto" w:sz="4" w:space="0"/>
            </w:tcBorders>
            <w:vAlign w:val="center"/>
          </w:tcPr>
          <w:p w14:paraId="64CAA9A9">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E773AD9">
            <w:pPr>
              <w:widowControl/>
              <w:jc w:val="center"/>
              <w:rPr>
                <w:rFonts w:hAnsi="宋体"/>
                <w:color w:val="auto"/>
                <w:sz w:val="21"/>
                <w:szCs w:val="21"/>
                <w:highlight w:val="none"/>
              </w:rPr>
            </w:pPr>
            <w:r>
              <w:rPr>
                <w:rFonts w:hAnsi="宋体"/>
                <w:color w:val="auto"/>
                <w:sz w:val="21"/>
                <w:szCs w:val="21"/>
                <w:highlight w:val="none"/>
              </w:rPr>
              <w:t>扫雪滚刷</w:t>
            </w:r>
          </w:p>
        </w:tc>
        <w:tc>
          <w:tcPr>
            <w:tcW w:w="1347" w:type="dxa"/>
            <w:tcBorders>
              <w:top w:val="nil"/>
              <w:left w:val="nil"/>
              <w:bottom w:val="single" w:color="auto" w:sz="4" w:space="0"/>
              <w:right w:val="single" w:color="auto" w:sz="4" w:space="0"/>
            </w:tcBorders>
            <w:vAlign w:val="center"/>
          </w:tcPr>
          <w:p w14:paraId="6615A71F">
            <w:pPr>
              <w:widowControl/>
              <w:jc w:val="center"/>
              <w:rPr>
                <w:rFonts w:hAnsi="宋体"/>
                <w:color w:val="auto"/>
                <w:sz w:val="21"/>
                <w:szCs w:val="21"/>
                <w:highlight w:val="none"/>
              </w:rPr>
            </w:pPr>
            <w:r>
              <w:rPr>
                <w:rFonts w:hAnsi="宋体"/>
                <w:color w:val="auto"/>
                <w:sz w:val="21"/>
                <w:szCs w:val="21"/>
                <w:highlight w:val="none"/>
              </w:rPr>
              <w:t>太仓应急(057)</w:t>
            </w:r>
          </w:p>
        </w:tc>
        <w:tc>
          <w:tcPr>
            <w:tcW w:w="1239" w:type="dxa"/>
            <w:tcBorders>
              <w:top w:val="nil"/>
              <w:left w:val="nil"/>
              <w:bottom w:val="single" w:color="auto" w:sz="4" w:space="0"/>
              <w:right w:val="single" w:color="auto" w:sz="4" w:space="0"/>
            </w:tcBorders>
            <w:vAlign w:val="center"/>
          </w:tcPr>
          <w:p w14:paraId="387EDFEA">
            <w:pPr>
              <w:widowControl/>
              <w:jc w:val="center"/>
              <w:rPr>
                <w:rFonts w:hAnsi="宋体"/>
                <w:color w:val="auto"/>
                <w:sz w:val="21"/>
                <w:szCs w:val="21"/>
                <w:highlight w:val="none"/>
              </w:rPr>
            </w:pPr>
            <w:r>
              <w:rPr>
                <w:rFonts w:hAnsi="宋体"/>
                <w:color w:val="auto"/>
                <w:sz w:val="21"/>
                <w:szCs w:val="21"/>
                <w:highlight w:val="none"/>
              </w:rPr>
              <w:t>清扫宽度＞3m</w:t>
            </w:r>
          </w:p>
        </w:tc>
        <w:tc>
          <w:tcPr>
            <w:tcW w:w="532" w:type="dxa"/>
            <w:tcBorders>
              <w:top w:val="nil"/>
              <w:left w:val="nil"/>
              <w:bottom w:val="single" w:color="auto" w:sz="4" w:space="0"/>
              <w:right w:val="single" w:color="auto" w:sz="4" w:space="0"/>
            </w:tcBorders>
            <w:vAlign w:val="center"/>
          </w:tcPr>
          <w:p w14:paraId="6026D01C">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F1EEB05">
            <w:pPr>
              <w:widowControl/>
              <w:jc w:val="center"/>
              <w:rPr>
                <w:rFonts w:hAnsi="宋体"/>
                <w:color w:val="auto"/>
                <w:sz w:val="21"/>
                <w:szCs w:val="21"/>
                <w:highlight w:val="none"/>
              </w:rPr>
            </w:pPr>
            <w:r>
              <w:rPr>
                <w:rFonts w:hAnsi="宋体"/>
                <w:color w:val="auto"/>
                <w:sz w:val="21"/>
                <w:szCs w:val="21"/>
                <w:highlight w:val="none"/>
              </w:rPr>
              <w:t>DHGQ-01B-3050N</w:t>
            </w:r>
          </w:p>
        </w:tc>
        <w:tc>
          <w:tcPr>
            <w:tcW w:w="1143" w:type="dxa"/>
            <w:tcBorders>
              <w:top w:val="nil"/>
              <w:left w:val="nil"/>
              <w:bottom w:val="single" w:color="auto" w:sz="4" w:space="0"/>
              <w:right w:val="single" w:color="auto" w:sz="4" w:space="0"/>
            </w:tcBorders>
            <w:vAlign w:val="center"/>
          </w:tcPr>
          <w:p w14:paraId="4060B764">
            <w:pPr>
              <w:widowControl/>
              <w:jc w:val="center"/>
              <w:rPr>
                <w:rFonts w:hAnsi="宋体"/>
                <w:color w:val="auto"/>
                <w:sz w:val="21"/>
                <w:szCs w:val="21"/>
                <w:highlight w:val="none"/>
              </w:rPr>
            </w:pPr>
            <w:r>
              <w:rPr>
                <w:rFonts w:hAnsi="宋体"/>
                <w:color w:val="auto"/>
                <w:sz w:val="21"/>
                <w:szCs w:val="21"/>
                <w:highlight w:val="none"/>
              </w:rPr>
              <w:t>环科德恒</w:t>
            </w:r>
          </w:p>
        </w:tc>
        <w:tc>
          <w:tcPr>
            <w:tcW w:w="1424" w:type="dxa"/>
            <w:tcBorders>
              <w:top w:val="nil"/>
              <w:left w:val="nil"/>
              <w:bottom w:val="single" w:color="auto" w:sz="4" w:space="0"/>
              <w:right w:val="single" w:color="auto" w:sz="4" w:space="0"/>
            </w:tcBorders>
            <w:noWrap/>
            <w:vAlign w:val="center"/>
          </w:tcPr>
          <w:p w14:paraId="5C020E24">
            <w:pPr>
              <w:widowControl/>
              <w:jc w:val="center"/>
              <w:rPr>
                <w:rFonts w:hAnsi="宋体"/>
                <w:color w:val="auto"/>
                <w:sz w:val="21"/>
                <w:szCs w:val="21"/>
                <w:highlight w:val="none"/>
              </w:rPr>
            </w:pPr>
            <w:r>
              <w:rPr>
                <w:rFonts w:hAnsi="宋体"/>
                <w:color w:val="auto"/>
                <w:sz w:val="21"/>
                <w:szCs w:val="21"/>
                <w:highlight w:val="none"/>
              </w:rPr>
              <w:t>2024年10月</w:t>
            </w:r>
          </w:p>
        </w:tc>
        <w:tc>
          <w:tcPr>
            <w:tcW w:w="812" w:type="dxa"/>
            <w:tcBorders>
              <w:top w:val="nil"/>
              <w:left w:val="nil"/>
              <w:bottom w:val="single" w:color="auto" w:sz="4" w:space="0"/>
              <w:right w:val="single" w:color="auto" w:sz="4" w:space="0"/>
            </w:tcBorders>
            <w:vAlign w:val="center"/>
          </w:tcPr>
          <w:p w14:paraId="78564EC7">
            <w:pPr>
              <w:widowControl/>
              <w:jc w:val="center"/>
              <w:rPr>
                <w:rFonts w:hAnsi="宋体"/>
                <w:color w:val="auto"/>
                <w:sz w:val="21"/>
                <w:szCs w:val="21"/>
                <w:highlight w:val="none"/>
              </w:rPr>
            </w:pPr>
            <w:r>
              <w:rPr>
                <w:rFonts w:hAnsi="宋体"/>
                <w:color w:val="auto"/>
                <w:sz w:val="21"/>
                <w:szCs w:val="21"/>
                <w:highlight w:val="none"/>
              </w:rPr>
              <w:t>2</w:t>
            </w:r>
          </w:p>
        </w:tc>
      </w:tr>
      <w:tr w14:paraId="5FB7D73C">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C39CF40">
            <w:pPr>
              <w:widowControl/>
              <w:jc w:val="center"/>
              <w:rPr>
                <w:rFonts w:hAnsi="宋体"/>
                <w:color w:val="auto"/>
                <w:sz w:val="21"/>
                <w:szCs w:val="21"/>
                <w:highlight w:val="none"/>
              </w:rPr>
            </w:pPr>
            <w:r>
              <w:rPr>
                <w:rFonts w:hAnsi="宋体"/>
                <w:color w:val="auto"/>
                <w:sz w:val="21"/>
                <w:szCs w:val="21"/>
                <w:highlight w:val="none"/>
              </w:rPr>
              <w:t>19</w:t>
            </w:r>
          </w:p>
        </w:tc>
        <w:tc>
          <w:tcPr>
            <w:tcW w:w="958" w:type="dxa"/>
            <w:tcBorders>
              <w:top w:val="nil"/>
              <w:left w:val="nil"/>
              <w:bottom w:val="single" w:color="auto" w:sz="4" w:space="0"/>
              <w:right w:val="single" w:color="auto" w:sz="4" w:space="0"/>
            </w:tcBorders>
            <w:vAlign w:val="center"/>
          </w:tcPr>
          <w:p w14:paraId="2DE83143">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0944A3DD">
            <w:pPr>
              <w:widowControl/>
              <w:jc w:val="center"/>
              <w:rPr>
                <w:rFonts w:hAnsi="宋体"/>
                <w:color w:val="auto"/>
                <w:sz w:val="21"/>
                <w:szCs w:val="21"/>
                <w:highlight w:val="none"/>
              </w:rPr>
            </w:pPr>
            <w:r>
              <w:rPr>
                <w:rFonts w:hAnsi="宋体"/>
                <w:color w:val="auto"/>
                <w:sz w:val="21"/>
                <w:szCs w:val="21"/>
                <w:highlight w:val="none"/>
              </w:rPr>
              <w:t>融雪剂撒布机</w:t>
            </w:r>
          </w:p>
        </w:tc>
        <w:tc>
          <w:tcPr>
            <w:tcW w:w="1347" w:type="dxa"/>
            <w:tcBorders>
              <w:top w:val="nil"/>
              <w:left w:val="nil"/>
              <w:bottom w:val="single" w:color="auto" w:sz="4" w:space="0"/>
              <w:right w:val="single" w:color="auto" w:sz="4" w:space="0"/>
            </w:tcBorders>
            <w:vAlign w:val="center"/>
          </w:tcPr>
          <w:p w14:paraId="2FF91500">
            <w:pPr>
              <w:widowControl/>
              <w:jc w:val="center"/>
              <w:rPr>
                <w:rFonts w:hAnsi="宋体"/>
                <w:color w:val="auto"/>
                <w:sz w:val="21"/>
                <w:szCs w:val="21"/>
                <w:highlight w:val="none"/>
              </w:rPr>
            </w:pPr>
            <w:r>
              <w:rPr>
                <w:rFonts w:hAnsi="宋体"/>
                <w:color w:val="auto"/>
                <w:sz w:val="21"/>
                <w:szCs w:val="21"/>
                <w:highlight w:val="none"/>
              </w:rPr>
              <w:t>太仓应急(058)</w:t>
            </w:r>
          </w:p>
        </w:tc>
        <w:tc>
          <w:tcPr>
            <w:tcW w:w="1239" w:type="dxa"/>
            <w:tcBorders>
              <w:top w:val="nil"/>
              <w:left w:val="nil"/>
              <w:bottom w:val="single" w:color="auto" w:sz="4" w:space="0"/>
              <w:right w:val="single" w:color="auto" w:sz="4" w:space="0"/>
            </w:tcBorders>
            <w:vAlign w:val="center"/>
          </w:tcPr>
          <w:p w14:paraId="14E9E306">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21345033">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999E3E7">
            <w:pPr>
              <w:widowControl/>
              <w:jc w:val="center"/>
              <w:rPr>
                <w:rFonts w:hAnsi="宋体"/>
                <w:color w:val="auto"/>
                <w:sz w:val="21"/>
                <w:szCs w:val="21"/>
                <w:highlight w:val="none"/>
              </w:rPr>
            </w:pPr>
            <w:r>
              <w:rPr>
                <w:rFonts w:hAnsi="宋体"/>
                <w:color w:val="auto"/>
                <w:sz w:val="21"/>
                <w:szCs w:val="21"/>
                <w:highlight w:val="none"/>
              </w:rPr>
              <w:t>DHSG-04-02-SE</w:t>
            </w:r>
          </w:p>
        </w:tc>
        <w:tc>
          <w:tcPr>
            <w:tcW w:w="1143" w:type="dxa"/>
            <w:tcBorders>
              <w:top w:val="nil"/>
              <w:left w:val="nil"/>
              <w:bottom w:val="single" w:color="auto" w:sz="4" w:space="0"/>
              <w:right w:val="single" w:color="auto" w:sz="4" w:space="0"/>
            </w:tcBorders>
            <w:vAlign w:val="center"/>
          </w:tcPr>
          <w:p w14:paraId="0C46FFD9">
            <w:pPr>
              <w:widowControl/>
              <w:jc w:val="center"/>
              <w:rPr>
                <w:rFonts w:hAnsi="宋体"/>
                <w:color w:val="auto"/>
                <w:sz w:val="21"/>
                <w:szCs w:val="21"/>
                <w:highlight w:val="none"/>
              </w:rPr>
            </w:pPr>
            <w:r>
              <w:rPr>
                <w:rFonts w:hAnsi="宋体"/>
                <w:color w:val="auto"/>
                <w:sz w:val="21"/>
                <w:szCs w:val="21"/>
                <w:highlight w:val="none"/>
              </w:rPr>
              <w:t>环科德恒</w:t>
            </w:r>
          </w:p>
        </w:tc>
        <w:tc>
          <w:tcPr>
            <w:tcW w:w="1424" w:type="dxa"/>
            <w:tcBorders>
              <w:top w:val="nil"/>
              <w:left w:val="nil"/>
              <w:bottom w:val="single" w:color="auto" w:sz="4" w:space="0"/>
              <w:right w:val="single" w:color="auto" w:sz="4" w:space="0"/>
            </w:tcBorders>
            <w:noWrap/>
            <w:vAlign w:val="center"/>
          </w:tcPr>
          <w:p w14:paraId="6791381B">
            <w:pPr>
              <w:widowControl/>
              <w:jc w:val="center"/>
              <w:rPr>
                <w:rFonts w:hAnsi="宋体"/>
                <w:color w:val="auto"/>
                <w:sz w:val="21"/>
                <w:szCs w:val="21"/>
                <w:highlight w:val="none"/>
              </w:rPr>
            </w:pPr>
            <w:r>
              <w:rPr>
                <w:rFonts w:hAnsi="宋体"/>
                <w:color w:val="auto"/>
                <w:sz w:val="21"/>
                <w:szCs w:val="21"/>
                <w:highlight w:val="none"/>
              </w:rPr>
              <w:t>2024年10月</w:t>
            </w:r>
          </w:p>
        </w:tc>
        <w:tc>
          <w:tcPr>
            <w:tcW w:w="812" w:type="dxa"/>
            <w:tcBorders>
              <w:top w:val="nil"/>
              <w:left w:val="nil"/>
              <w:bottom w:val="single" w:color="auto" w:sz="4" w:space="0"/>
              <w:right w:val="single" w:color="auto" w:sz="4" w:space="0"/>
            </w:tcBorders>
            <w:vAlign w:val="center"/>
          </w:tcPr>
          <w:p w14:paraId="03256F78">
            <w:pPr>
              <w:widowControl/>
              <w:jc w:val="center"/>
              <w:rPr>
                <w:rFonts w:hAnsi="宋体"/>
                <w:color w:val="auto"/>
                <w:sz w:val="21"/>
                <w:szCs w:val="21"/>
                <w:highlight w:val="none"/>
              </w:rPr>
            </w:pPr>
            <w:r>
              <w:rPr>
                <w:rFonts w:hAnsi="宋体"/>
                <w:color w:val="auto"/>
                <w:sz w:val="21"/>
                <w:szCs w:val="21"/>
                <w:highlight w:val="none"/>
              </w:rPr>
              <w:t>2</w:t>
            </w:r>
          </w:p>
        </w:tc>
      </w:tr>
      <w:tr w14:paraId="05055E7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2C92523">
            <w:pPr>
              <w:widowControl/>
              <w:jc w:val="center"/>
              <w:rPr>
                <w:rFonts w:hAnsi="宋体"/>
                <w:color w:val="auto"/>
                <w:sz w:val="21"/>
                <w:szCs w:val="21"/>
                <w:highlight w:val="none"/>
              </w:rPr>
            </w:pPr>
            <w:r>
              <w:rPr>
                <w:rFonts w:hAnsi="宋体"/>
                <w:color w:val="auto"/>
                <w:sz w:val="21"/>
                <w:szCs w:val="21"/>
                <w:highlight w:val="none"/>
              </w:rPr>
              <w:t>20</w:t>
            </w:r>
          </w:p>
        </w:tc>
        <w:tc>
          <w:tcPr>
            <w:tcW w:w="958" w:type="dxa"/>
            <w:tcBorders>
              <w:top w:val="nil"/>
              <w:left w:val="nil"/>
              <w:bottom w:val="single" w:color="auto" w:sz="4" w:space="0"/>
              <w:right w:val="single" w:color="auto" w:sz="4" w:space="0"/>
            </w:tcBorders>
            <w:vAlign w:val="center"/>
          </w:tcPr>
          <w:p w14:paraId="483AD11B">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6EC3D3C5">
            <w:pPr>
              <w:widowControl/>
              <w:jc w:val="center"/>
              <w:rPr>
                <w:rFonts w:hAnsi="宋体"/>
                <w:color w:val="auto"/>
                <w:sz w:val="21"/>
                <w:szCs w:val="21"/>
                <w:highlight w:val="none"/>
              </w:rPr>
            </w:pPr>
            <w:r>
              <w:rPr>
                <w:rFonts w:hAnsi="宋体"/>
                <w:color w:val="auto"/>
                <w:sz w:val="21"/>
                <w:szCs w:val="21"/>
                <w:highlight w:val="none"/>
              </w:rPr>
              <w:t>融雪剂撒布机</w:t>
            </w:r>
          </w:p>
        </w:tc>
        <w:tc>
          <w:tcPr>
            <w:tcW w:w="1347" w:type="dxa"/>
            <w:tcBorders>
              <w:top w:val="nil"/>
              <w:left w:val="nil"/>
              <w:bottom w:val="single" w:color="auto" w:sz="4" w:space="0"/>
              <w:right w:val="single" w:color="auto" w:sz="4" w:space="0"/>
            </w:tcBorders>
            <w:vAlign w:val="center"/>
          </w:tcPr>
          <w:p w14:paraId="0D094F09">
            <w:pPr>
              <w:widowControl/>
              <w:jc w:val="center"/>
              <w:rPr>
                <w:rFonts w:hAnsi="宋体"/>
                <w:color w:val="auto"/>
                <w:sz w:val="21"/>
                <w:szCs w:val="21"/>
                <w:highlight w:val="none"/>
              </w:rPr>
            </w:pPr>
            <w:r>
              <w:rPr>
                <w:rFonts w:hAnsi="宋体"/>
                <w:color w:val="auto"/>
                <w:sz w:val="21"/>
                <w:szCs w:val="21"/>
                <w:highlight w:val="none"/>
              </w:rPr>
              <w:t>太仓应急(059)</w:t>
            </w:r>
          </w:p>
        </w:tc>
        <w:tc>
          <w:tcPr>
            <w:tcW w:w="1239" w:type="dxa"/>
            <w:tcBorders>
              <w:top w:val="nil"/>
              <w:left w:val="nil"/>
              <w:bottom w:val="single" w:color="auto" w:sz="4" w:space="0"/>
              <w:right w:val="single" w:color="auto" w:sz="4" w:space="0"/>
            </w:tcBorders>
            <w:vAlign w:val="center"/>
          </w:tcPr>
          <w:p w14:paraId="507E299E">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131246C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C584433">
            <w:pPr>
              <w:widowControl/>
              <w:jc w:val="center"/>
              <w:rPr>
                <w:rFonts w:hAnsi="宋体"/>
                <w:color w:val="auto"/>
                <w:sz w:val="21"/>
                <w:szCs w:val="21"/>
                <w:highlight w:val="none"/>
              </w:rPr>
            </w:pPr>
            <w:r>
              <w:rPr>
                <w:rFonts w:hAnsi="宋体"/>
                <w:color w:val="auto"/>
                <w:sz w:val="21"/>
                <w:szCs w:val="21"/>
                <w:highlight w:val="none"/>
              </w:rPr>
              <w:t>DHSG-04-02-SE</w:t>
            </w:r>
          </w:p>
        </w:tc>
        <w:tc>
          <w:tcPr>
            <w:tcW w:w="1143" w:type="dxa"/>
            <w:tcBorders>
              <w:top w:val="nil"/>
              <w:left w:val="nil"/>
              <w:bottom w:val="single" w:color="auto" w:sz="4" w:space="0"/>
              <w:right w:val="single" w:color="auto" w:sz="4" w:space="0"/>
            </w:tcBorders>
            <w:vAlign w:val="center"/>
          </w:tcPr>
          <w:p w14:paraId="3DC26D7F">
            <w:pPr>
              <w:widowControl/>
              <w:jc w:val="center"/>
              <w:rPr>
                <w:rFonts w:hAnsi="宋体"/>
                <w:color w:val="auto"/>
                <w:sz w:val="21"/>
                <w:szCs w:val="21"/>
                <w:highlight w:val="none"/>
              </w:rPr>
            </w:pPr>
            <w:r>
              <w:rPr>
                <w:rFonts w:hAnsi="宋体"/>
                <w:color w:val="auto"/>
                <w:sz w:val="21"/>
                <w:szCs w:val="21"/>
                <w:highlight w:val="none"/>
              </w:rPr>
              <w:t>环科德恒</w:t>
            </w:r>
          </w:p>
        </w:tc>
        <w:tc>
          <w:tcPr>
            <w:tcW w:w="1424" w:type="dxa"/>
            <w:tcBorders>
              <w:top w:val="nil"/>
              <w:left w:val="nil"/>
              <w:bottom w:val="single" w:color="auto" w:sz="4" w:space="0"/>
              <w:right w:val="single" w:color="auto" w:sz="4" w:space="0"/>
            </w:tcBorders>
            <w:noWrap/>
            <w:vAlign w:val="center"/>
          </w:tcPr>
          <w:p w14:paraId="7FCA09CA">
            <w:pPr>
              <w:widowControl/>
              <w:jc w:val="center"/>
              <w:rPr>
                <w:rFonts w:hAnsi="宋体"/>
                <w:color w:val="auto"/>
                <w:sz w:val="21"/>
                <w:szCs w:val="21"/>
                <w:highlight w:val="none"/>
              </w:rPr>
            </w:pPr>
            <w:r>
              <w:rPr>
                <w:rFonts w:hAnsi="宋体"/>
                <w:color w:val="auto"/>
                <w:sz w:val="21"/>
                <w:szCs w:val="21"/>
                <w:highlight w:val="none"/>
              </w:rPr>
              <w:t>2024年10月</w:t>
            </w:r>
          </w:p>
        </w:tc>
        <w:tc>
          <w:tcPr>
            <w:tcW w:w="812" w:type="dxa"/>
            <w:tcBorders>
              <w:top w:val="nil"/>
              <w:left w:val="nil"/>
              <w:bottom w:val="single" w:color="auto" w:sz="4" w:space="0"/>
              <w:right w:val="single" w:color="auto" w:sz="4" w:space="0"/>
            </w:tcBorders>
            <w:vAlign w:val="center"/>
          </w:tcPr>
          <w:p w14:paraId="3D2044C5">
            <w:pPr>
              <w:widowControl/>
              <w:jc w:val="center"/>
              <w:rPr>
                <w:rFonts w:hAnsi="宋体"/>
                <w:color w:val="auto"/>
                <w:sz w:val="21"/>
                <w:szCs w:val="21"/>
                <w:highlight w:val="none"/>
              </w:rPr>
            </w:pPr>
            <w:r>
              <w:rPr>
                <w:rFonts w:hAnsi="宋体"/>
                <w:color w:val="auto"/>
                <w:sz w:val="21"/>
                <w:szCs w:val="21"/>
                <w:highlight w:val="none"/>
              </w:rPr>
              <w:t>2</w:t>
            </w:r>
          </w:p>
        </w:tc>
      </w:tr>
      <w:tr w14:paraId="20EC6495">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703034AC">
            <w:pPr>
              <w:widowControl/>
              <w:jc w:val="center"/>
              <w:rPr>
                <w:rFonts w:hAnsi="宋体"/>
                <w:color w:val="auto"/>
                <w:sz w:val="21"/>
                <w:szCs w:val="21"/>
                <w:highlight w:val="none"/>
              </w:rPr>
            </w:pPr>
            <w:r>
              <w:rPr>
                <w:rFonts w:hAnsi="宋体"/>
                <w:color w:val="auto"/>
                <w:sz w:val="21"/>
                <w:szCs w:val="21"/>
                <w:highlight w:val="none"/>
              </w:rPr>
              <w:t>21</w:t>
            </w:r>
          </w:p>
        </w:tc>
        <w:tc>
          <w:tcPr>
            <w:tcW w:w="958" w:type="dxa"/>
            <w:tcBorders>
              <w:top w:val="nil"/>
              <w:left w:val="nil"/>
              <w:bottom w:val="single" w:color="auto" w:sz="4" w:space="0"/>
              <w:right w:val="single" w:color="auto" w:sz="4" w:space="0"/>
            </w:tcBorders>
            <w:vAlign w:val="center"/>
          </w:tcPr>
          <w:p w14:paraId="7324ECD8">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5EF1074">
            <w:pPr>
              <w:widowControl/>
              <w:jc w:val="center"/>
              <w:rPr>
                <w:rFonts w:hAnsi="宋体"/>
                <w:color w:val="auto"/>
                <w:sz w:val="21"/>
                <w:szCs w:val="21"/>
                <w:highlight w:val="none"/>
              </w:rPr>
            </w:pPr>
            <w:r>
              <w:rPr>
                <w:rFonts w:hAnsi="宋体"/>
                <w:color w:val="auto"/>
                <w:sz w:val="21"/>
                <w:szCs w:val="21"/>
                <w:highlight w:val="none"/>
              </w:rPr>
              <w:t>融雪剂撒布机</w:t>
            </w:r>
          </w:p>
        </w:tc>
        <w:tc>
          <w:tcPr>
            <w:tcW w:w="1347" w:type="dxa"/>
            <w:tcBorders>
              <w:top w:val="nil"/>
              <w:left w:val="nil"/>
              <w:bottom w:val="single" w:color="auto" w:sz="4" w:space="0"/>
              <w:right w:val="single" w:color="auto" w:sz="4" w:space="0"/>
            </w:tcBorders>
            <w:vAlign w:val="center"/>
          </w:tcPr>
          <w:p w14:paraId="5A34CC24">
            <w:pPr>
              <w:widowControl/>
              <w:jc w:val="center"/>
              <w:rPr>
                <w:rFonts w:hAnsi="宋体"/>
                <w:color w:val="auto"/>
                <w:sz w:val="21"/>
                <w:szCs w:val="21"/>
                <w:highlight w:val="none"/>
              </w:rPr>
            </w:pPr>
            <w:r>
              <w:rPr>
                <w:rFonts w:hAnsi="宋体"/>
                <w:color w:val="auto"/>
                <w:sz w:val="21"/>
                <w:szCs w:val="21"/>
                <w:highlight w:val="none"/>
              </w:rPr>
              <w:t>太仓应急(014)</w:t>
            </w:r>
          </w:p>
        </w:tc>
        <w:tc>
          <w:tcPr>
            <w:tcW w:w="1239" w:type="dxa"/>
            <w:tcBorders>
              <w:top w:val="nil"/>
              <w:left w:val="nil"/>
              <w:bottom w:val="single" w:color="auto" w:sz="4" w:space="0"/>
              <w:right w:val="single" w:color="auto" w:sz="4" w:space="0"/>
            </w:tcBorders>
            <w:vAlign w:val="center"/>
          </w:tcPr>
          <w:p w14:paraId="1D8F7EEE">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536EE9DD">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F9D5A08">
            <w:pPr>
              <w:widowControl/>
              <w:jc w:val="center"/>
              <w:rPr>
                <w:rFonts w:hAnsi="宋体"/>
                <w:color w:val="auto"/>
                <w:sz w:val="21"/>
                <w:szCs w:val="21"/>
                <w:highlight w:val="none"/>
              </w:rPr>
            </w:pPr>
            <w:r>
              <w:rPr>
                <w:rFonts w:hAnsi="宋体"/>
                <w:color w:val="auto"/>
                <w:sz w:val="21"/>
                <w:szCs w:val="21"/>
                <w:highlight w:val="none"/>
              </w:rPr>
              <w:t>LTX3M3</w:t>
            </w:r>
          </w:p>
        </w:tc>
        <w:tc>
          <w:tcPr>
            <w:tcW w:w="1143" w:type="dxa"/>
            <w:tcBorders>
              <w:top w:val="nil"/>
              <w:left w:val="nil"/>
              <w:bottom w:val="single" w:color="auto" w:sz="4" w:space="0"/>
              <w:right w:val="single" w:color="auto" w:sz="4" w:space="0"/>
            </w:tcBorders>
            <w:vAlign w:val="center"/>
          </w:tcPr>
          <w:p w14:paraId="094B0EA5">
            <w:pPr>
              <w:widowControl/>
              <w:jc w:val="center"/>
              <w:rPr>
                <w:rFonts w:hAnsi="宋体"/>
                <w:color w:val="auto"/>
                <w:sz w:val="21"/>
                <w:szCs w:val="21"/>
                <w:highlight w:val="none"/>
              </w:rPr>
            </w:pPr>
            <w:r>
              <w:rPr>
                <w:rFonts w:hAnsi="宋体"/>
                <w:color w:val="auto"/>
                <w:sz w:val="21"/>
                <w:szCs w:val="21"/>
                <w:highlight w:val="none"/>
              </w:rPr>
              <w:t>天信</w:t>
            </w:r>
          </w:p>
        </w:tc>
        <w:tc>
          <w:tcPr>
            <w:tcW w:w="1424" w:type="dxa"/>
            <w:tcBorders>
              <w:top w:val="nil"/>
              <w:left w:val="nil"/>
              <w:bottom w:val="single" w:color="auto" w:sz="4" w:space="0"/>
              <w:right w:val="single" w:color="auto" w:sz="4" w:space="0"/>
            </w:tcBorders>
            <w:noWrap/>
            <w:vAlign w:val="center"/>
          </w:tcPr>
          <w:p w14:paraId="4413F212">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2C3DE5BB">
            <w:pPr>
              <w:widowControl/>
              <w:jc w:val="center"/>
              <w:rPr>
                <w:rFonts w:hAnsi="宋体"/>
                <w:color w:val="auto"/>
                <w:sz w:val="21"/>
                <w:szCs w:val="21"/>
                <w:highlight w:val="none"/>
              </w:rPr>
            </w:pPr>
            <w:r>
              <w:rPr>
                <w:rFonts w:hAnsi="宋体"/>
                <w:color w:val="auto"/>
                <w:sz w:val="21"/>
                <w:szCs w:val="21"/>
                <w:highlight w:val="none"/>
              </w:rPr>
              <w:t>2</w:t>
            </w:r>
          </w:p>
        </w:tc>
      </w:tr>
      <w:tr w14:paraId="7F8E4E82">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4206804E">
            <w:pPr>
              <w:widowControl/>
              <w:jc w:val="center"/>
              <w:rPr>
                <w:rFonts w:hAnsi="宋体"/>
                <w:color w:val="auto"/>
                <w:sz w:val="21"/>
                <w:szCs w:val="21"/>
                <w:highlight w:val="none"/>
              </w:rPr>
            </w:pPr>
            <w:r>
              <w:rPr>
                <w:rFonts w:hAnsi="宋体"/>
                <w:color w:val="auto"/>
                <w:sz w:val="21"/>
                <w:szCs w:val="21"/>
                <w:highlight w:val="none"/>
              </w:rPr>
              <w:t>22</w:t>
            </w:r>
          </w:p>
        </w:tc>
        <w:tc>
          <w:tcPr>
            <w:tcW w:w="958" w:type="dxa"/>
            <w:tcBorders>
              <w:top w:val="nil"/>
              <w:left w:val="nil"/>
              <w:bottom w:val="single" w:color="auto" w:sz="4" w:space="0"/>
              <w:right w:val="single" w:color="auto" w:sz="4" w:space="0"/>
            </w:tcBorders>
            <w:vAlign w:val="center"/>
          </w:tcPr>
          <w:p w14:paraId="6E2721C5">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15EB9779">
            <w:pPr>
              <w:widowControl/>
              <w:jc w:val="center"/>
              <w:rPr>
                <w:rFonts w:hAnsi="宋体"/>
                <w:color w:val="auto"/>
                <w:sz w:val="21"/>
                <w:szCs w:val="21"/>
                <w:highlight w:val="none"/>
              </w:rPr>
            </w:pPr>
            <w:r>
              <w:rPr>
                <w:rFonts w:hAnsi="宋体"/>
                <w:color w:val="auto"/>
                <w:sz w:val="21"/>
                <w:szCs w:val="21"/>
                <w:highlight w:val="none"/>
              </w:rPr>
              <w:t>发电机</w:t>
            </w:r>
          </w:p>
        </w:tc>
        <w:tc>
          <w:tcPr>
            <w:tcW w:w="1347" w:type="dxa"/>
            <w:tcBorders>
              <w:top w:val="nil"/>
              <w:left w:val="nil"/>
              <w:bottom w:val="single" w:color="auto" w:sz="4" w:space="0"/>
              <w:right w:val="single" w:color="auto" w:sz="4" w:space="0"/>
            </w:tcBorders>
            <w:vAlign w:val="center"/>
          </w:tcPr>
          <w:p w14:paraId="34EDDE68">
            <w:pPr>
              <w:widowControl/>
              <w:jc w:val="center"/>
              <w:rPr>
                <w:rFonts w:hAnsi="宋体"/>
                <w:color w:val="auto"/>
                <w:sz w:val="21"/>
                <w:szCs w:val="21"/>
                <w:highlight w:val="none"/>
              </w:rPr>
            </w:pPr>
            <w:r>
              <w:rPr>
                <w:rFonts w:hAnsi="宋体"/>
                <w:color w:val="auto"/>
                <w:sz w:val="21"/>
                <w:szCs w:val="21"/>
                <w:highlight w:val="none"/>
              </w:rPr>
              <w:t>太仓应急(015)</w:t>
            </w:r>
          </w:p>
        </w:tc>
        <w:tc>
          <w:tcPr>
            <w:tcW w:w="1239" w:type="dxa"/>
            <w:tcBorders>
              <w:top w:val="nil"/>
              <w:left w:val="nil"/>
              <w:bottom w:val="single" w:color="auto" w:sz="4" w:space="0"/>
              <w:right w:val="single" w:color="auto" w:sz="4" w:space="0"/>
            </w:tcBorders>
            <w:vAlign w:val="center"/>
          </w:tcPr>
          <w:p w14:paraId="5019014C">
            <w:pPr>
              <w:widowControl/>
              <w:jc w:val="center"/>
              <w:rPr>
                <w:rFonts w:hAnsi="宋体"/>
                <w:color w:val="auto"/>
                <w:sz w:val="21"/>
                <w:szCs w:val="21"/>
                <w:highlight w:val="none"/>
              </w:rPr>
            </w:pPr>
            <w:r>
              <w:rPr>
                <w:rFonts w:hAnsi="宋体"/>
                <w:color w:val="auto"/>
                <w:sz w:val="21"/>
                <w:szCs w:val="21"/>
                <w:highlight w:val="none"/>
              </w:rPr>
              <w:t>80KW</w:t>
            </w:r>
          </w:p>
        </w:tc>
        <w:tc>
          <w:tcPr>
            <w:tcW w:w="532" w:type="dxa"/>
            <w:tcBorders>
              <w:top w:val="nil"/>
              <w:left w:val="nil"/>
              <w:bottom w:val="single" w:color="auto" w:sz="4" w:space="0"/>
              <w:right w:val="single" w:color="auto" w:sz="4" w:space="0"/>
            </w:tcBorders>
            <w:vAlign w:val="center"/>
          </w:tcPr>
          <w:p w14:paraId="6576172B">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02A4DB0">
            <w:pPr>
              <w:widowControl/>
              <w:jc w:val="center"/>
              <w:rPr>
                <w:rFonts w:hAnsi="宋体"/>
                <w:color w:val="auto"/>
                <w:sz w:val="21"/>
                <w:szCs w:val="21"/>
                <w:highlight w:val="none"/>
              </w:rPr>
            </w:pPr>
            <w:r>
              <w:rPr>
                <w:rFonts w:hAnsi="宋体"/>
                <w:color w:val="auto"/>
                <w:sz w:val="21"/>
                <w:szCs w:val="21"/>
                <w:highlight w:val="none"/>
              </w:rPr>
              <w:t>HFW-100T5</w:t>
            </w:r>
          </w:p>
        </w:tc>
        <w:tc>
          <w:tcPr>
            <w:tcW w:w="1143" w:type="dxa"/>
            <w:tcBorders>
              <w:top w:val="nil"/>
              <w:left w:val="nil"/>
              <w:bottom w:val="single" w:color="auto" w:sz="4" w:space="0"/>
              <w:right w:val="single" w:color="auto" w:sz="4" w:space="0"/>
            </w:tcBorders>
            <w:vAlign w:val="center"/>
          </w:tcPr>
          <w:p w14:paraId="35C89C66">
            <w:pPr>
              <w:widowControl/>
              <w:jc w:val="center"/>
              <w:rPr>
                <w:rFonts w:hAnsi="宋体"/>
                <w:color w:val="auto"/>
                <w:sz w:val="21"/>
                <w:szCs w:val="21"/>
                <w:highlight w:val="none"/>
              </w:rPr>
            </w:pPr>
            <w:r>
              <w:rPr>
                <w:rFonts w:hAnsi="宋体"/>
                <w:color w:val="auto"/>
                <w:sz w:val="21"/>
                <w:szCs w:val="21"/>
                <w:highlight w:val="none"/>
              </w:rPr>
              <w:t>伊蒙妮莎</w:t>
            </w:r>
          </w:p>
        </w:tc>
        <w:tc>
          <w:tcPr>
            <w:tcW w:w="1424" w:type="dxa"/>
            <w:tcBorders>
              <w:top w:val="nil"/>
              <w:left w:val="nil"/>
              <w:bottom w:val="single" w:color="auto" w:sz="4" w:space="0"/>
              <w:right w:val="single" w:color="auto" w:sz="4" w:space="0"/>
            </w:tcBorders>
            <w:noWrap/>
            <w:vAlign w:val="center"/>
          </w:tcPr>
          <w:p w14:paraId="52D40BB3">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6F4D02BC">
            <w:pPr>
              <w:widowControl/>
              <w:jc w:val="center"/>
              <w:rPr>
                <w:rFonts w:hAnsi="宋体"/>
                <w:color w:val="auto"/>
                <w:sz w:val="21"/>
                <w:szCs w:val="21"/>
                <w:highlight w:val="none"/>
              </w:rPr>
            </w:pPr>
            <w:r>
              <w:rPr>
                <w:rFonts w:hAnsi="宋体"/>
                <w:color w:val="auto"/>
                <w:sz w:val="21"/>
                <w:szCs w:val="21"/>
                <w:highlight w:val="none"/>
              </w:rPr>
              <w:t>2</w:t>
            </w:r>
          </w:p>
        </w:tc>
      </w:tr>
      <w:tr w14:paraId="6B08F19E">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B8D2D65">
            <w:pPr>
              <w:widowControl/>
              <w:jc w:val="center"/>
              <w:rPr>
                <w:rFonts w:hAnsi="宋体"/>
                <w:color w:val="auto"/>
                <w:sz w:val="21"/>
                <w:szCs w:val="21"/>
                <w:highlight w:val="none"/>
              </w:rPr>
            </w:pPr>
            <w:r>
              <w:rPr>
                <w:rFonts w:hAnsi="宋体"/>
                <w:color w:val="auto"/>
                <w:sz w:val="21"/>
                <w:szCs w:val="21"/>
                <w:highlight w:val="none"/>
              </w:rPr>
              <w:t>23</w:t>
            </w:r>
          </w:p>
        </w:tc>
        <w:tc>
          <w:tcPr>
            <w:tcW w:w="958" w:type="dxa"/>
            <w:tcBorders>
              <w:top w:val="nil"/>
              <w:left w:val="nil"/>
              <w:bottom w:val="single" w:color="auto" w:sz="4" w:space="0"/>
              <w:right w:val="single" w:color="auto" w:sz="4" w:space="0"/>
            </w:tcBorders>
            <w:vAlign w:val="center"/>
          </w:tcPr>
          <w:p w14:paraId="7A3E3BE3">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3E85785">
            <w:pPr>
              <w:widowControl/>
              <w:jc w:val="center"/>
              <w:rPr>
                <w:rFonts w:hAnsi="宋体"/>
                <w:color w:val="auto"/>
                <w:sz w:val="21"/>
                <w:szCs w:val="21"/>
                <w:highlight w:val="none"/>
              </w:rPr>
            </w:pPr>
            <w:r>
              <w:rPr>
                <w:rFonts w:hAnsi="宋体"/>
                <w:color w:val="auto"/>
                <w:sz w:val="21"/>
                <w:szCs w:val="21"/>
                <w:highlight w:val="none"/>
              </w:rPr>
              <w:t>水泵</w:t>
            </w:r>
          </w:p>
        </w:tc>
        <w:tc>
          <w:tcPr>
            <w:tcW w:w="1347" w:type="dxa"/>
            <w:tcBorders>
              <w:top w:val="nil"/>
              <w:left w:val="nil"/>
              <w:bottom w:val="single" w:color="auto" w:sz="4" w:space="0"/>
              <w:right w:val="single" w:color="auto" w:sz="4" w:space="0"/>
            </w:tcBorders>
            <w:vAlign w:val="center"/>
          </w:tcPr>
          <w:p w14:paraId="28B47319">
            <w:pPr>
              <w:widowControl/>
              <w:jc w:val="center"/>
              <w:rPr>
                <w:rFonts w:hAnsi="宋体"/>
                <w:color w:val="auto"/>
                <w:sz w:val="21"/>
                <w:szCs w:val="21"/>
                <w:highlight w:val="none"/>
              </w:rPr>
            </w:pPr>
            <w:r>
              <w:rPr>
                <w:rFonts w:hAnsi="宋体"/>
                <w:color w:val="auto"/>
                <w:sz w:val="21"/>
                <w:szCs w:val="21"/>
                <w:highlight w:val="none"/>
              </w:rPr>
              <w:t>太仓应急(016)</w:t>
            </w:r>
          </w:p>
        </w:tc>
        <w:tc>
          <w:tcPr>
            <w:tcW w:w="1239" w:type="dxa"/>
            <w:tcBorders>
              <w:top w:val="nil"/>
              <w:left w:val="nil"/>
              <w:bottom w:val="single" w:color="auto" w:sz="4" w:space="0"/>
              <w:right w:val="single" w:color="auto" w:sz="4" w:space="0"/>
            </w:tcBorders>
            <w:vAlign w:val="center"/>
          </w:tcPr>
          <w:p w14:paraId="63A42F50">
            <w:pPr>
              <w:widowControl/>
              <w:jc w:val="center"/>
              <w:rPr>
                <w:rFonts w:hAnsi="宋体"/>
                <w:color w:val="auto"/>
                <w:sz w:val="21"/>
                <w:szCs w:val="21"/>
                <w:highlight w:val="none"/>
              </w:rPr>
            </w:pPr>
            <w:r>
              <w:rPr>
                <w:rFonts w:hAnsi="宋体"/>
                <w:color w:val="auto"/>
                <w:sz w:val="21"/>
                <w:szCs w:val="21"/>
                <w:highlight w:val="none"/>
              </w:rPr>
              <w:t>口径50mm</w:t>
            </w:r>
          </w:p>
        </w:tc>
        <w:tc>
          <w:tcPr>
            <w:tcW w:w="532" w:type="dxa"/>
            <w:tcBorders>
              <w:top w:val="nil"/>
              <w:left w:val="nil"/>
              <w:bottom w:val="single" w:color="auto" w:sz="4" w:space="0"/>
              <w:right w:val="single" w:color="auto" w:sz="4" w:space="0"/>
            </w:tcBorders>
            <w:vAlign w:val="center"/>
          </w:tcPr>
          <w:p w14:paraId="32CDD45E">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5822DD1">
            <w:pPr>
              <w:widowControl/>
              <w:jc w:val="center"/>
              <w:rPr>
                <w:rFonts w:hAnsi="宋体"/>
                <w:color w:val="auto"/>
                <w:sz w:val="21"/>
                <w:szCs w:val="21"/>
                <w:highlight w:val="none"/>
              </w:rPr>
            </w:pPr>
            <w:r>
              <w:rPr>
                <w:rFonts w:hAnsi="宋体"/>
                <w:color w:val="auto"/>
                <w:sz w:val="21"/>
                <w:szCs w:val="21"/>
                <w:highlight w:val="none"/>
              </w:rPr>
              <w:t>QGZ50-25.2</w:t>
            </w:r>
          </w:p>
        </w:tc>
        <w:tc>
          <w:tcPr>
            <w:tcW w:w="1143" w:type="dxa"/>
            <w:tcBorders>
              <w:top w:val="nil"/>
              <w:left w:val="nil"/>
              <w:bottom w:val="single" w:color="auto" w:sz="4" w:space="0"/>
              <w:right w:val="single" w:color="auto" w:sz="4" w:space="0"/>
            </w:tcBorders>
            <w:vAlign w:val="center"/>
          </w:tcPr>
          <w:p w14:paraId="11129445">
            <w:pPr>
              <w:widowControl/>
              <w:jc w:val="center"/>
              <w:rPr>
                <w:rFonts w:hAnsi="宋体"/>
                <w:color w:val="auto"/>
                <w:sz w:val="21"/>
                <w:szCs w:val="21"/>
                <w:highlight w:val="none"/>
              </w:rPr>
            </w:pPr>
            <w:r>
              <w:rPr>
                <w:rFonts w:hAnsi="宋体"/>
                <w:color w:val="auto"/>
                <w:sz w:val="21"/>
                <w:szCs w:val="21"/>
                <w:highlight w:val="none"/>
              </w:rPr>
              <w:t>嘉陵本田</w:t>
            </w:r>
          </w:p>
        </w:tc>
        <w:tc>
          <w:tcPr>
            <w:tcW w:w="1424" w:type="dxa"/>
            <w:tcBorders>
              <w:top w:val="nil"/>
              <w:left w:val="nil"/>
              <w:bottom w:val="single" w:color="auto" w:sz="4" w:space="0"/>
              <w:right w:val="single" w:color="auto" w:sz="4" w:space="0"/>
            </w:tcBorders>
            <w:noWrap/>
            <w:vAlign w:val="center"/>
          </w:tcPr>
          <w:p w14:paraId="3D44D299">
            <w:pPr>
              <w:widowControl/>
              <w:jc w:val="center"/>
              <w:rPr>
                <w:rFonts w:hAnsi="宋体"/>
                <w:color w:val="auto"/>
                <w:sz w:val="21"/>
                <w:szCs w:val="21"/>
                <w:highlight w:val="none"/>
              </w:rPr>
            </w:pPr>
            <w:r>
              <w:rPr>
                <w:rFonts w:hAnsi="宋体"/>
                <w:color w:val="auto"/>
                <w:sz w:val="21"/>
                <w:szCs w:val="21"/>
                <w:highlight w:val="none"/>
              </w:rPr>
              <w:t>2014年10月</w:t>
            </w:r>
          </w:p>
        </w:tc>
        <w:tc>
          <w:tcPr>
            <w:tcW w:w="812" w:type="dxa"/>
            <w:tcBorders>
              <w:top w:val="nil"/>
              <w:left w:val="nil"/>
              <w:bottom w:val="single" w:color="auto" w:sz="4" w:space="0"/>
              <w:right w:val="single" w:color="auto" w:sz="4" w:space="0"/>
            </w:tcBorders>
            <w:vAlign w:val="center"/>
          </w:tcPr>
          <w:p w14:paraId="3DC4F5C4">
            <w:pPr>
              <w:widowControl/>
              <w:jc w:val="center"/>
              <w:rPr>
                <w:rFonts w:hAnsi="宋体"/>
                <w:color w:val="auto"/>
                <w:sz w:val="21"/>
                <w:szCs w:val="21"/>
                <w:highlight w:val="none"/>
              </w:rPr>
            </w:pPr>
            <w:r>
              <w:rPr>
                <w:rFonts w:hAnsi="宋体"/>
                <w:color w:val="auto"/>
                <w:sz w:val="21"/>
                <w:szCs w:val="21"/>
                <w:highlight w:val="none"/>
              </w:rPr>
              <w:t>2</w:t>
            </w:r>
          </w:p>
        </w:tc>
      </w:tr>
      <w:tr w14:paraId="04A2DF38">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BF6B4AE">
            <w:pPr>
              <w:widowControl/>
              <w:jc w:val="center"/>
              <w:rPr>
                <w:rFonts w:hAnsi="宋体"/>
                <w:color w:val="auto"/>
                <w:sz w:val="21"/>
                <w:szCs w:val="21"/>
                <w:highlight w:val="none"/>
              </w:rPr>
            </w:pPr>
            <w:r>
              <w:rPr>
                <w:rFonts w:hAnsi="宋体"/>
                <w:color w:val="auto"/>
                <w:sz w:val="21"/>
                <w:szCs w:val="21"/>
                <w:highlight w:val="none"/>
              </w:rPr>
              <w:t>24</w:t>
            </w:r>
          </w:p>
        </w:tc>
        <w:tc>
          <w:tcPr>
            <w:tcW w:w="958" w:type="dxa"/>
            <w:tcBorders>
              <w:top w:val="nil"/>
              <w:left w:val="nil"/>
              <w:bottom w:val="single" w:color="auto" w:sz="4" w:space="0"/>
              <w:right w:val="single" w:color="auto" w:sz="4" w:space="0"/>
            </w:tcBorders>
            <w:vAlign w:val="center"/>
          </w:tcPr>
          <w:p w14:paraId="37756820">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0CE8326">
            <w:pPr>
              <w:widowControl/>
              <w:jc w:val="center"/>
              <w:rPr>
                <w:rFonts w:hAnsi="宋体"/>
                <w:color w:val="auto"/>
                <w:sz w:val="21"/>
                <w:szCs w:val="21"/>
                <w:highlight w:val="none"/>
              </w:rPr>
            </w:pPr>
            <w:r>
              <w:rPr>
                <w:rFonts w:hAnsi="宋体"/>
                <w:color w:val="auto"/>
                <w:sz w:val="21"/>
                <w:szCs w:val="21"/>
                <w:highlight w:val="none"/>
              </w:rPr>
              <w:t>水泵</w:t>
            </w:r>
          </w:p>
        </w:tc>
        <w:tc>
          <w:tcPr>
            <w:tcW w:w="1347" w:type="dxa"/>
            <w:tcBorders>
              <w:top w:val="nil"/>
              <w:left w:val="nil"/>
              <w:bottom w:val="single" w:color="auto" w:sz="4" w:space="0"/>
              <w:right w:val="single" w:color="auto" w:sz="4" w:space="0"/>
            </w:tcBorders>
            <w:vAlign w:val="center"/>
          </w:tcPr>
          <w:p w14:paraId="3D9FE7D7">
            <w:pPr>
              <w:widowControl/>
              <w:jc w:val="center"/>
              <w:rPr>
                <w:rFonts w:hAnsi="宋体"/>
                <w:color w:val="auto"/>
                <w:sz w:val="21"/>
                <w:szCs w:val="21"/>
                <w:highlight w:val="none"/>
              </w:rPr>
            </w:pPr>
            <w:r>
              <w:rPr>
                <w:rFonts w:hAnsi="宋体"/>
                <w:color w:val="auto"/>
                <w:sz w:val="21"/>
                <w:szCs w:val="21"/>
                <w:highlight w:val="none"/>
              </w:rPr>
              <w:t>太仓应急(017)</w:t>
            </w:r>
          </w:p>
        </w:tc>
        <w:tc>
          <w:tcPr>
            <w:tcW w:w="1239" w:type="dxa"/>
            <w:tcBorders>
              <w:top w:val="nil"/>
              <w:left w:val="nil"/>
              <w:bottom w:val="single" w:color="auto" w:sz="4" w:space="0"/>
              <w:right w:val="single" w:color="auto" w:sz="4" w:space="0"/>
            </w:tcBorders>
            <w:vAlign w:val="center"/>
          </w:tcPr>
          <w:p w14:paraId="70419EB9">
            <w:pPr>
              <w:widowControl/>
              <w:jc w:val="center"/>
              <w:rPr>
                <w:rFonts w:hAnsi="宋体"/>
                <w:color w:val="auto"/>
                <w:sz w:val="21"/>
                <w:szCs w:val="21"/>
                <w:highlight w:val="none"/>
              </w:rPr>
            </w:pPr>
            <w:r>
              <w:rPr>
                <w:rFonts w:hAnsi="宋体"/>
                <w:color w:val="auto"/>
                <w:sz w:val="21"/>
                <w:szCs w:val="21"/>
                <w:highlight w:val="none"/>
              </w:rPr>
              <w:t>口径75mm</w:t>
            </w:r>
          </w:p>
        </w:tc>
        <w:tc>
          <w:tcPr>
            <w:tcW w:w="532" w:type="dxa"/>
            <w:tcBorders>
              <w:top w:val="nil"/>
              <w:left w:val="nil"/>
              <w:bottom w:val="single" w:color="auto" w:sz="4" w:space="0"/>
              <w:right w:val="single" w:color="auto" w:sz="4" w:space="0"/>
            </w:tcBorders>
            <w:vAlign w:val="center"/>
          </w:tcPr>
          <w:p w14:paraId="3A09862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2DF4F569">
            <w:pPr>
              <w:widowControl/>
              <w:jc w:val="center"/>
              <w:rPr>
                <w:rFonts w:hAnsi="宋体"/>
                <w:color w:val="auto"/>
                <w:sz w:val="21"/>
                <w:szCs w:val="21"/>
                <w:highlight w:val="none"/>
              </w:rPr>
            </w:pPr>
            <w:r>
              <w:rPr>
                <w:rFonts w:hAnsi="宋体"/>
                <w:color w:val="auto"/>
                <w:sz w:val="21"/>
                <w:szCs w:val="21"/>
                <w:highlight w:val="none"/>
              </w:rPr>
              <w:t>WP3-65</w:t>
            </w:r>
          </w:p>
        </w:tc>
        <w:tc>
          <w:tcPr>
            <w:tcW w:w="1143" w:type="dxa"/>
            <w:tcBorders>
              <w:top w:val="nil"/>
              <w:left w:val="nil"/>
              <w:bottom w:val="single" w:color="auto" w:sz="4" w:space="0"/>
              <w:right w:val="single" w:color="auto" w:sz="4" w:space="0"/>
            </w:tcBorders>
            <w:vAlign w:val="center"/>
          </w:tcPr>
          <w:p w14:paraId="7BDBBC5B">
            <w:pPr>
              <w:widowControl/>
              <w:jc w:val="center"/>
              <w:rPr>
                <w:rFonts w:hAnsi="宋体"/>
                <w:color w:val="auto"/>
                <w:sz w:val="21"/>
                <w:szCs w:val="21"/>
                <w:highlight w:val="none"/>
              </w:rPr>
            </w:pPr>
            <w:r>
              <w:rPr>
                <w:rFonts w:hAnsi="宋体"/>
                <w:color w:val="auto"/>
                <w:sz w:val="21"/>
                <w:szCs w:val="21"/>
                <w:highlight w:val="none"/>
              </w:rPr>
              <w:t>百利通</w:t>
            </w:r>
          </w:p>
        </w:tc>
        <w:tc>
          <w:tcPr>
            <w:tcW w:w="1424" w:type="dxa"/>
            <w:tcBorders>
              <w:top w:val="nil"/>
              <w:left w:val="nil"/>
              <w:bottom w:val="single" w:color="auto" w:sz="4" w:space="0"/>
              <w:right w:val="single" w:color="auto" w:sz="4" w:space="0"/>
            </w:tcBorders>
            <w:noWrap/>
            <w:vAlign w:val="center"/>
          </w:tcPr>
          <w:p w14:paraId="505B5BD3">
            <w:pPr>
              <w:widowControl/>
              <w:jc w:val="center"/>
              <w:rPr>
                <w:rFonts w:hAnsi="宋体"/>
                <w:color w:val="auto"/>
                <w:sz w:val="21"/>
                <w:szCs w:val="21"/>
                <w:highlight w:val="none"/>
              </w:rPr>
            </w:pPr>
            <w:r>
              <w:rPr>
                <w:rFonts w:hAnsi="宋体"/>
                <w:color w:val="auto"/>
                <w:sz w:val="21"/>
                <w:szCs w:val="21"/>
                <w:highlight w:val="none"/>
              </w:rPr>
              <w:t>2015年6月</w:t>
            </w:r>
          </w:p>
        </w:tc>
        <w:tc>
          <w:tcPr>
            <w:tcW w:w="812" w:type="dxa"/>
            <w:tcBorders>
              <w:top w:val="nil"/>
              <w:left w:val="nil"/>
              <w:bottom w:val="single" w:color="auto" w:sz="4" w:space="0"/>
              <w:right w:val="single" w:color="auto" w:sz="4" w:space="0"/>
            </w:tcBorders>
            <w:vAlign w:val="center"/>
          </w:tcPr>
          <w:p w14:paraId="03FE56F4">
            <w:pPr>
              <w:widowControl/>
              <w:jc w:val="center"/>
              <w:rPr>
                <w:rFonts w:hAnsi="宋体"/>
                <w:color w:val="auto"/>
                <w:sz w:val="21"/>
                <w:szCs w:val="21"/>
                <w:highlight w:val="none"/>
              </w:rPr>
            </w:pPr>
            <w:r>
              <w:rPr>
                <w:rFonts w:hAnsi="宋体"/>
                <w:color w:val="auto"/>
                <w:sz w:val="21"/>
                <w:szCs w:val="21"/>
                <w:highlight w:val="none"/>
              </w:rPr>
              <w:t>2</w:t>
            </w:r>
          </w:p>
        </w:tc>
      </w:tr>
      <w:tr w14:paraId="3737850E">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749F0D1">
            <w:pPr>
              <w:widowControl/>
              <w:jc w:val="center"/>
              <w:rPr>
                <w:rFonts w:hAnsi="宋体"/>
                <w:color w:val="auto"/>
                <w:sz w:val="21"/>
                <w:szCs w:val="21"/>
                <w:highlight w:val="none"/>
              </w:rPr>
            </w:pPr>
            <w:r>
              <w:rPr>
                <w:rFonts w:hAnsi="宋体"/>
                <w:color w:val="auto"/>
                <w:sz w:val="21"/>
                <w:szCs w:val="21"/>
                <w:highlight w:val="none"/>
              </w:rPr>
              <w:t>25</w:t>
            </w:r>
          </w:p>
        </w:tc>
        <w:tc>
          <w:tcPr>
            <w:tcW w:w="958" w:type="dxa"/>
            <w:tcBorders>
              <w:top w:val="nil"/>
              <w:left w:val="nil"/>
              <w:bottom w:val="single" w:color="auto" w:sz="4" w:space="0"/>
              <w:right w:val="single" w:color="auto" w:sz="4" w:space="0"/>
            </w:tcBorders>
            <w:vAlign w:val="center"/>
          </w:tcPr>
          <w:p w14:paraId="59E2D0DC">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3AB635F2">
            <w:pPr>
              <w:widowControl/>
              <w:jc w:val="center"/>
              <w:rPr>
                <w:rFonts w:hAnsi="宋体"/>
                <w:color w:val="auto"/>
                <w:sz w:val="21"/>
                <w:szCs w:val="21"/>
                <w:highlight w:val="none"/>
              </w:rPr>
            </w:pPr>
            <w:r>
              <w:rPr>
                <w:rFonts w:hAnsi="宋体"/>
                <w:color w:val="auto"/>
                <w:sz w:val="21"/>
                <w:szCs w:val="21"/>
                <w:highlight w:val="none"/>
              </w:rPr>
              <w:t>水泵</w:t>
            </w:r>
          </w:p>
        </w:tc>
        <w:tc>
          <w:tcPr>
            <w:tcW w:w="1347" w:type="dxa"/>
            <w:tcBorders>
              <w:top w:val="nil"/>
              <w:left w:val="nil"/>
              <w:bottom w:val="single" w:color="auto" w:sz="4" w:space="0"/>
              <w:right w:val="single" w:color="auto" w:sz="4" w:space="0"/>
            </w:tcBorders>
            <w:vAlign w:val="center"/>
          </w:tcPr>
          <w:p w14:paraId="145E5D37">
            <w:pPr>
              <w:widowControl/>
              <w:jc w:val="center"/>
              <w:rPr>
                <w:rFonts w:hAnsi="宋体"/>
                <w:color w:val="auto"/>
                <w:sz w:val="21"/>
                <w:szCs w:val="21"/>
                <w:highlight w:val="none"/>
              </w:rPr>
            </w:pPr>
            <w:r>
              <w:rPr>
                <w:rFonts w:hAnsi="宋体"/>
                <w:color w:val="auto"/>
                <w:sz w:val="21"/>
                <w:szCs w:val="21"/>
                <w:highlight w:val="none"/>
              </w:rPr>
              <w:t>太仓应急(018)</w:t>
            </w:r>
          </w:p>
        </w:tc>
        <w:tc>
          <w:tcPr>
            <w:tcW w:w="1239" w:type="dxa"/>
            <w:tcBorders>
              <w:top w:val="nil"/>
              <w:left w:val="nil"/>
              <w:bottom w:val="single" w:color="auto" w:sz="4" w:space="0"/>
              <w:right w:val="single" w:color="auto" w:sz="4" w:space="0"/>
            </w:tcBorders>
            <w:vAlign w:val="center"/>
          </w:tcPr>
          <w:p w14:paraId="3BC33838">
            <w:pPr>
              <w:widowControl/>
              <w:jc w:val="center"/>
              <w:rPr>
                <w:rFonts w:hAnsi="宋体"/>
                <w:color w:val="auto"/>
                <w:sz w:val="21"/>
                <w:szCs w:val="21"/>
                <w:highlight w:val="none"/>
              </w:rPr>
            </w:pPr>
            <w:r>
              <w:rPr>
                <w:rFonts w:hAnsi="宋体"/>
                <w:color w:val="auto"/>
                <w:sz w:val="21"/>
                <w:szCs w:val="21"/>
                <w:highlight w:val="none"/>
              </w:rPr>
              <w:t>口径100mm</w:t>
            </w:r>
          </w:p>
        </w:tc>
        <w:tc>
          <w:tcPr>
            <w:tcW w:w="532" w:type="dxa"/>
            <w:tcBorders>
              <w:top w:val="nil"/>
              <w:left w:val="nil"/>
              <w:bottom w:val="single" w:color="auto" w:sz="4" w:space="0"/>
              <w:right w:val="single" w:color="auto" w:sz="4" w:space="0"/>
            </w:tcBorders>
            <w:vAlign w:val="center"/>
          </w:tcPr>
          <w:p w14:paraId="6CACD50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268E0181">
            <w:pPr>
              <w:widowControl/>
              <w:jc w:val="center"/>
              <w:rPr>
                <w:rFonts w:hAnsi="宋体"/>
                <w:color w:val="auto"/>
                <w:sz w:val="21"/>
                <w:szCs w:val="21"/>
                <w:highlight w:val="none"/>
              </w:rPr>
            </w:pPr>
            <w:r>
              <w:rPr>
                <w:rFonts w:hAnsi="宋体"/>
                <w:color w:val="auto"/>
                <w:sz w:val="21"/>
                <w:szCs w:val="21"/>
                <w:highlight w:val="none"/>
              </w:rPr>
              <w:t>WP-40</w:t>
            </w:r>
          </w:p>
        </w:tc>
        <w:tc>
          <w:tcPr>
            <w:tcW w:w="1143" w:type="dxa"/>
            <w:tcBorders>
              <w:top w:val="nil"/>
              <w:left w:val="nil"/>
              <w:bottom w:val="single" w:color="auto" w:sz="4" w:space="0"/>
              <w:right w:val="single" w:color="auto" w:sz="4" w:space="0"/>
            </w:tcBorders>
            <w:vAlign w:val="center"/>
          </w:tcPr>
          <w:p w14:paraId="52AA0729">
            <w:pPr>
              <w:widowControl/>
              <w:jc w:val="center"/>
              <w:rPr>
                <w:rFonts w:hAnsi="宋体"/>
                <w:color w:val="auto"/>
                <w:sz w:val="21"/>
                <w:szCs w:val="21"/>
                <w:highlight w:val="none"/>
              </w:rPr>
            </w:pPr>
            <w:r>
              <w:rPr>
                <w:rFonts w:hAnsi="宋体"/>
                <w:color w:val="auto"/>
                <w:sz w:val="21"/>
                <w:szCs w:val="21"/>
                <w:highlight w:val="none"/>
              </w:rPr>
              <w:t>嘉陵本田</w:t>
            </w:r>
          </w:p>
        </w:tc>
        <w:tc>
          <w:tcPr>
            <w:tcW w:w="1424" w:type="dxa"/>
            <w:tcBorders>
              <w:top w:val="nil"/>
              <w:left w:val="nil"/>
              <w:bottom w:val="single" w:color="auto" w:sz="4" w:space="0"/>
              <w:right w:val="single" w:color="auto" w:sz="4" w:space="0"/>
            </w:tcBorders>
            <w:noWrap/>
            <w:vAlign w:val="center"/>
          </w:tcPr>
          <w:p w14:paraId="6AD99F3B">
            <w:pPr>
              <w:widowControl/>
              <w:jc w:val="center"/>
              <w:rPr>
                <w:rFonts w:hAnsi="宋体"/>
                <w:color w:val="auto"/>
                <w:sz w:val="21"/>
                <w:szCs w:val="21"/>
                <w:highlight w:val="none"/>
              </w:rPr>
            </w:pPr>
            <w:r>
              <w:rPr>
                <w:rFonts w:hAnsi="宋体"/>
                <w:color w:val="auto"/>
                <w:sz w:val="21"/>
                <w:szCs w:val="21"/>
                <w:highlight w:val="none"/>
              </w:rPr>
              <w:t>2016年6月</w:t>
            </w:r>
          </w:p>
        </w:tc>
        <w:tc>
          <w:tcPr>
            <w:tcW w:w="812" w:type="dxa"/>
            <w:tcBorders>
              <w:top w:val="nil"/>
              <w:left w:val="nil"/>
              <w:bottom w:val="single" w:color="auto" w:sz="4" w:space="0"/>
              <w:right w:val="single" w:color="auto" w:sz="4" w:space="0"/>
            </w:tcBorders>
            <w:vAlign w:val="center"/>
          </w:tcPr>
          <w:p w14:paraId="0E025227">
            <w:pPr>
              <w:widowControl/>
              <w:jc w:val="center"/>
              <w:rPr>
                <w:rFonts w:hAnsi="宋体"/>
                <w:color w:val="auto"/>
                <w:sz w:val="21"/>
                <w:szCs w:val="21"/>
                <w:highlight w:val="none"/>
              </w:rPr>
            </w:pPr>
            <w:r>
              <w:rPr>
                <w:rFonts w:hAnsi="宋体"/>
                <w:color w:val="auto"/>
                <w:sz w:val="21"/>
                <w:szCs w:val="21"/>
                <w:highlight w:val="none"/>
              </w:rPr>
              <w:t>2</w:t>
            </w:r>
          </w:p>
        </w:tc>
      </w:tr>
      <w:tr w14:paraId="7ED5921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630C960">
            <w:pPr>
              <w:widowControl/>
              <w:jc w:val="center"/>
              <w:rPr>
                <w:rFonts w:hAnsi="宋体"/>
                <w:color w:val="auto"/>
                <w:sz w:val="21"/>
                <w:szCs w:val="21"/>
                <w:highlight w:val="none"/>
              </w:rPr>
            </w:pPr>
            <w:r>
              <w:rPr>
                <w:rFonts w:hAnsi="宋体"/>
                <w:color w:val="auto"/>
                <w:sz w:val="21"/>
                <w:szCs w:val="21"/>
                <w:highlight w:val="none"/>
              </w:rPr>
              <w:t>26</w:t>
            </w:r>
          </w:p>
        </w:tc>
        <w:tc>
          <w:tcPr>
            <w:tcW w:w="958" w:type="dxa"/>
            <w:tcBorders>
              <w:top w:val="nil"/>
              <w:left w:val="nil"/>
              <w:bottom w:val="single" w:color="auto" w:sz="4" w:space="0"/>
              <w:right w:val="single" w:color="auto" w:sz="4" w:space="0"/>
            </w:tcBorders>
            <w:vAlign w:val="center"/>
          </w:tcPr>
          <w:p w14:paraId="43775A61">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5E03CEA4">
            <w:pPr>
              <w:widowControl/>
              <w:jc w:val="center"/>
              <w:rPr>
                <w:rFonts w:hAnsi="宋体"/>
                <w:color w:val="auto"/>
                <w:sz w:val="21"/>
                <w:szCs w:val="21"/>
                <w:highlight w:val="none"/>
              </w:rPr>
            </w:pPr>
            <w:r>
              <w:rPr>
                <w:rFonts w:hAnsi="宋体"/>
                <w:color w:val="auto"/>
                <w:sz w:val="21"/>
                <w:szCs w:val="21"/>
                <w:highlight w:val="none"/>
              </w:rPr>
              <w:t>水泵</w:t>
            </w:r>
          </w:p>
        </w:tc>
        <w:tc>
          <w:tcPr>
            <w:tcW w:w="1347" w:type="dxa"/>
            <w:tcBorders>
              <w:top w:val="nil"/>
              <w:left w:val="nil"/>
              <w:bottom w:val="single" w:color="auto" w:sz="4" w:space="0"/>
              <w:right w:val="single" w:color="auto" w:sz="4" w:space="0"/>
            </w:tcBorders>
            <w:vAlign w:val="center"/>
          </w:tcPr>
          <w:p w14:paraId="2E7C6E91">
            <w:pPr>
              <w:widowControl/>
              <w:jc w:val="center"/>
              <w:rPr>
                <w:rFonts w:hAnsi="宋体"/>
                <w:color w:val="auto"/>
                <w:sz w:val="21"/>
                <w:szCs w:val="21"/>
                <w:highlight w:val="none"/>
              </w:rPr>
            </w:pPr>
            <w:r>
              <w:rPr>
                <w:rFonts w:hAnsi="宋体"/>
                <w:color w:val="auto"/>
                <w:sz w:val="21"/>
                <w:szCs w:val="21"/>
                <w:highlight w:val="none"/>
              </w:rPr>
              <w:t>太仓应急(019)</w:t>
            </w:r>
          </w:p>
        </w:tc>
        <w:tc>
          <w:tcPr>
            <w:tcW w:w="1239" w:type="dxa"/>
            <w:tcBorders>
              <w:top w:val="nil"/>
              <w:left w:val="nil"/>
              <w:bottom w:val="single" w:color="auto" w:sz="4" w:space="0"/>
              <w:right w:val="single" w:color="auto" w:sz="4" w:space="0"/>
            </w:tcBorders>
            <w:vAlign w:val="center"/>
          </w:tcPr>
          <w:p w14:paraId="172EC52C">
            <w:pPr>
              <w:widowControl/>
              <w:jc w:val="center"/>
              <w:rPr>
                <w:rFonts w:hAnsi="宋体"/>
                <w:color w:val="auto"/>
                <w:sz w:val="21"/>
                <w:szCs w:val="21"/>
                <w:highlight w:val="none"/>
              </w:rPr>
            </w:pPr>
            <w:r>
              <w:rPr>
                <w:rFonts w:hAnsi="宋体"/>
                <w:color w:val="auto"/>
                <w:sz w:val="21"/>
                <w:szCs w:val="21"/>
                <w:highlight w:val="none"/>
              </w:rPr>
              <w:t>口径150mm</w:t>
            </w:r>
          </w:p>
        </w:tc>
        <w:tc>
          <w:tcPr>
            <w:tcW w:w="532" w:type="dxa"/>
            <w:tcBorders>
              <w:top w:val="nil"/>
              <w:left w:val="nil"/>
              <w:bottom w:val="single" w:color="auto" w:sz="4" w:space="0"/>
              <w:right w:val="single" w:color="auto" w:sz="4" w:space="0"/>
            </w:tcBorders>
            <w:vAlign w:val="center"/>
          </w:tcPr>
          <w:p w14:paraId="014BE3FA">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30060CC">
            <w:pPr>
              <w:widowControl/>
              <w:jc w:val="center"/>
              <w:rPr>
                <w:rFonts w:hAnsi="宋体"/>
                <w:color w:val="auto"/>
                <w:sz w:val="21"/>
                <w:szCs w:val="21"/>
                <w:highlight w:val="none"/>
              </w:rPr>
            </w:pPr>
            <w:r>
              <w:rPr>
                <w:rFonts w:hAnsi="宋体"/>
                <w:color w:val="auto"/>
                <w:sz w:val="21"/>
                <w:szCs w:val="21"/>
                <w:highlight w:val="none"/>
              </w:rPr>
              <w:t>WB150XH</w:t>
            </w:r>
          </w:p>
        </w:tc>
        <w:tc>
          <w:tcPr>
            <w:tcW w:w="1143" w:type="dxa"/>
            <w:tcBorders>
              <w:top w:val="nil"/>
              <w:left w:val="nil"/>
              <w:bottom w:val="single" w:color="auto" w:sz="4" w:space="0"/>
              <w:right w:val="single" w:color="auto" w:sz="4" w:space="0"/>
            </w:tcBorders>
            <w:vAlign w:val="center"/>
          </w:tcPr>
          <w:p w14:paraId="0BDB352C">
            <w:pPr>
              <w:widowControl/>
              <w:jc w:val="center"/>
              <w:rPr>
                <w:rFonts w:hAnsi="宋体"/>
                <w:color w:val="auto"/>
                <w:sz w:val="21"/>
                <w:szCs w:val="21"/>
                <w:highlight w:val="none"/>
              </w:rPr>
            </w:pPr>
            <w:r>
              <w:rPr>
                <w:rFonts w:hAnsi="宋体"/>
                <w:color w:val="auto"/>
                <w:sz w:val="21"/>
                <w:szCs w:val="21"/>
                <w:highlight w:val="none"/>
              </w:rPr>
              <w:t>嘉陵本田</w:t>
            </w:r>
          </w:p>
        </w:tc>
        <w:tc>
          <w:tcPr>
            <w:tcW w:w="1424" w:type="dxa"/>
            <w:tcBorders>
              <w:top w:val="nil"/>
              <w:left w:val="nil"/>
              <w:bottom w:val="single" w:color="auto" w:sz="4" w:space="0"/>
              <w:right w:val="single" w:color="auto" w:sz="4" w:space="0"/>
            </w:tcBorders>
            <w:noWrap/>
            <w:vAlign w:val="center"/>
          </w:tcPr>
          <w:p w14:paraId="4F661F9B">
            <w:pPr>
              <w:widowControl/>
              <w:jc w:val="center"/>
              <w:rPr>
                <w:rFonts w:hAnsi="宋体"/>
                <w:color w:val="auto"/>
                <w:sz w:val="21"/>
                <w:szCs w:val="21"/>
                <w:highlight w:val="none"/>
              </w:rPr>
            </w:pPr>
            <w:r>
              <w:rPr>
                <w:rFonts w:hAnsi="宋体"/>
                <w:color w:val="auto"/>
                <w:sz w:val="21"/>
                <w:szCs w:val="21"/>
                <w:highlight w:val="none"/>
              </w:rPr>
              <w:t>2016年6月</w:t>
            </w:r>
          </w:p>
        </w:tc>
        <w:tc>
          <w:tcPr>
            <w:tcW w:w="812" w:type="dxa"/>
            <w:tcBorders>
              <w:top w:val="nil"/>
              <w:left w:val="nil"/>
              <w:bottom w:val="single" w:color="auto" w:sz="4" w:space="0"/>
              <w:right w:val="single" w:color="auto" w:sz="4" w:space="0"/>
            </w:tcBorders>
            <w:vAlign w:val="center"/>
          </w:tcPr>
          <w:p w14:paraId="7F6ABD00">
            <w:pPr>
              <w:widowControl/>
              <w:jc w:val="center"/>
              <w:rPr>
                <w:rFonts w:hAnsi="宋体"/>
                <w:color w:val="auto"/>
                <w:sz w:val="21"/>
                <w:szCs w:val="21"/>
                <w:highlight w:val="none"/>
              </w:rPr>
            </w:pPr>
            <w:r>
              <w:rPr>
                <w:rFonts w:hAnsi="宋体"/>
                <w:color w:val="auto"/>
                <w:sz w:val="21"/>
                <w:szCs w:val="21"/>
                <w:highlight w:val="none"/>
              </w:rPr>
              <w:t>2</w:t>
            </w:r>
          </w:p>
        </w:tc>
      </w:tr>
      <w:tr w14:paraId="229B6568">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1EF11FF">
            <w:pPr>
              <w:widowControl/>
              <w:jc w:val="center"/>
              <w:rPr>
                <w:rFonts w:hAnsi="宋体"/>
                <w:color w:val="auto"/>
                <w:sz w:val="21"/>
                <w:szCs w:val="21"/>
                <w:highlight w:val="none"/>
              </w:rPr>
            </w:pPr>
            <w:r>
              <w:rPr>
                <w:rFonts w:hAnsi="宋体"/>
                <w:color w:val="auto"/>
                <w:sz w:val="21"/>
                <w:szCs w:val="21"/>
                <w:highlight w:val="none"/>
              </w:rPr>
              <w:t>27</w:t>
            </w:r>
          </w:p>
        </w:tc>
        <w:tc>
          <w:tcPr>
            <w:tcW w:w="958" w:type="dxa"/>
            <w:tcBorders>
              <w:top w:val="nil"/>
              <w:left w:val="nil"/>
              <w:bottom w:val="single" w:color="auto" w:sz="4" w:space="0"/>
              <w:right w:val="single" w:color="auto" w:sz="4" w:space="0"/>
            </w:tcBorders>
            <w:vAlign w:val="center"/>
          </w:tcPr>
          <w:p w14:paraId="196095E8">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5E3E479D">
            <w:pPr>
              <w:widowControl/>
              <w:jc w:val="center"/>
              <w:rPr>
                <w:rFonts w:hAnsi="宋体"/>
                <w:color w:val="auto"/>
                <w:sz w:val="21"/>
                <w:szCs w:val="21"/>
                <w:highlight w:val="none"/>
              </w:rPr>
            </w:pPr>
            <w:r>
              <w:rPr>
                <w:rFonts w:hAnsi="宋体"/>
                <w:color w:val="auto"/>
                <w:sz w:val="21"/>
                <w:szCs w:val="21"/>
                <w:highlight w:val="none"/>
              </w:rPr>
              <w:t>液压潜水泵</w:t>
            </w:r>
          </w:p>
        </w:tc>
        <w:tc>
          <w:tcPr>
            <w:tcW w:w="1347" w:type="dxa"/>
            <w:tcBorders>
              <w:top w:val="nil"/>
              <w:left w:val="nil"/>
              <w:bottom w:val="single" w:color="auto" w:sz="4" w:space="0"/>
              <w:right w:val="single" w:color="auto" w:sz="4" w:space="0"/>
            </w:tcBorders>
            <w:vAlign w:val="center"/>
          </w:tcPr>
          <w:p w14:paraId="0D716A0F">
            <w:pPr>
              <w:widowControl/>
              <w:jc w:val="center"/>
              <w:rPr>
                <w:rFonts w:hAnsi="宋体"/>
                <w:color w:val="auto"/>
                <w:sz w:val="21"/>
                <w:szCs w:val="21"/>
                <w:highlight w:val="none"/>
              </w:rPr>
            </w:pPr>
            <w:r>
              <w:rPr>
                <w:rFonts w:hAnsi="宋体"/>
                <w:color w:val="auto"/>
                <w:sz w:val="21"/>
                <w:szCs w:val="21"/>
                <w:highlight w:val="none"/>
              </w:rPr>
              <w:t>太仓应急(020)</w:t>
            </w:r>
          </w:p>
        </w:tc>
        <w:tc>
          <w:tcPr>
            <w:tcW w:w="1239" w:type="dxa"/>
            <w:tcBorders>
              <w:top w:val="nil"/>
              <w:left w:val="nil"/>
              <w:bottom w:val="single" w:color="auto" w:sz="4" w:space="0"/>
              <w:right w:val="single" w:color="auto" w:sz="4" w:space="0"/>
            </w:tcBorders>
            <w:vAlign w:val="center"/>
          </w:tcPr>
          <w:p w14:paraId="6DA8F930">
            <w:pPr>
              <w:widowControl/>
              <w:jc w:val="center"/>
              <w:rPr>
                <w:rFonts w:hAnsi="宋体"/>
                <w:color w:val="auto"/>
                <w:sz w:val="21"/>
                <w:szCs w:val="21"/>
                <w:highlight w:val="none"/>
              </w:rPr>
            </w:pPr>
            <w:r>
              <w:rPr>
                <w:rFonts w:hAnsi="宋体"/>
                <w:color w:val="auto"/>
                <w:sz w:val="21"/>
                <w:szCs w:val="21"/>
                <w:highlight w:val="none"/>
              </w:rPr>
              <w:t>口径200mm</w:t>
            </w:r>
          </w:p>
        </w:tc>
        <w:tc>
          <w:tcPr>
            <w:tcW w:w="532" w:type="dxa"/>
            <w:tcBorders>
              <w:top w:val="nil"/>
              <w:left w:val="nil"/>
              <w:bottom w:val="single" w:color="auto" w:sz="4" w:space="0"/>
              <w:right w:val="single" w:color="auto" w:sz="4" w:space="0"/>
            </w:tcBorders>
            <w:vAlign w:val="center"/>
          </w:tcPr>
          <w:p w14:paraId="3AAA69F9">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9DD0D3D">
            <w:pPr>
              <w:widowControl/>
              <w:jc w:val="center"/>
              <w:rPr>
                <w:rFonts w:hAnsi="宋体"/>
                <w:color w:val="auto"/>
                <w:sz w:val="21"/>
                <w:szCs w:val="21"/>
                <w:highlight w:val="none"/>
              </w:rPr>
            </w:pPr>
            <w:r>
              <w:rPr>
                <w:rFonts w:hAnsi="宋体"/>
                <w:color w:val="auto"/>
                <w:sz w:val="21"/>
                <w:szCs w:val="21"/>
                <w:highlight w:val="none"/>
              </w:rPr>
              <w:t>SM3600</w:t>
            </w:r>
          </w:p>
        </w:tc>
        <w:tc>
          <w:tcPr>
            <w:tcW w:w="1143" w:type="dxa"/>
            <w:tcBorders>
              <w:top w:val="nil"/>
              <w:left w:val="nil"/>
              <w:bottom w:val="single" w:color="auto" w:sz="4" w:space="0"/>
              <w:right w:val="single" w:color="auto" w:sz="4" w:space="0"/>
            </w:tcBorders>
            <w:vAlign w:val="center"/>
          </w:tcPr>
          <w:p w14:paraId="10344534">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18B1EFBE">
            <w:pPr>
              <w:widowControl/>
              <w:jc w:val="center"/>
              <w:rPr>
                <w:rFonts w:hAnsi="宋体"/>
                <w:color w:val="auto"/>
                <w:sz w:val="21"/>
                <w:szCs w:val="21"/>
                <w:highlight w:val="none"/>
              </w:rPr>
            </w:pPr>
            <w:r>
              <w:rPr>
                <w:rFonts w:hAnsi="宋体"/>
                <w:color w:val="auto"/>
                <w:sz w:val="21"/>
                <w:szCs w:val="21"/>
                <w:highlight w:val="none"/>
              </w:rPr>
              <w:t>2018年10月</w:t>
            </w:r>
          </w:p>
        </w:tc>
        <w:tc>
          <w:tcPr>
            <w:tcW w:w="812" w:type="dxa"/>
            <w:tcBorders>
              <w:top w:val="nil"/>
              <w:left w:val="nil"/>
              <w:bottom w:val="single" w:color="auto" w:sz="4" w:space="0"/>
              <w:right w:val="single" w:color="auto" w:sz="4" w:space="0"/>
            </w:tcBorders>
            <w:vAlign w:val="center"/>
          </w:tcPr>
          <w:p w14:paraId="07C3BD5D">
            <w:pPr>
              <w:widowControl/>
              <w:jc w:val="center"/>
              <w:rPr>
                <w:rFonts w:hAnsi="宋体"/>
                <w:color w:val="auto"/>
                <w:sz w:val="21"/>
                <w:szCs w:val="21"/>
                <w:highlight w:val="none"/>
              </w:rPr>
            </w:pPr>
            <w:r>
              <w:rPr>
                <w:rFonts w:hAnsi="宋体"/>
                <w:color w:val="auto"/>
                <w:sz w:val="21"/>
                <w:szCs w:val="21"/>
                <w:highlight w:val="none"/>
              </w:rPr>
              <w:t>2</w:t>
            </w:r>
          </w:p>
        </w:tc>
      </w:tr>
      <w:tr w14:paraId="1D143AE7">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D4770DA">
            <w:pPr>
              <w:widowControl/>
              <w:jc w:val="center"/>
              <w:rPr>
                <w:rFonts w:hAnsi="宋体"/>
                <w:color w:val="auto"/>
                <w:sz w:val="21"/>
                <w:szCs w:val="21"/>
                <w:highlight w:val="none"/>
              </w:rPr>
            </w:pPr>
            <w:r>
              <w:rPr>
                <w:rFonts w:hAnsi="宋体"/>
                <w:color w:val="auto"/>
                <w:sz w:val="21"/>
                <w:szCs w:val="21"/>
                <w:highlight w:val="none"/>
              </w:rPr>
              <w:t>28</w:t>
            </w:r>
          </w:p>
        </w:tc>
        <w:tc>
          <w:tcPr>
            <w:tcW w:w="958" w:type="dxa"/>
            <w:tcBorders>
              <w:top w:val="nil"/>
              <w:left w:val="nil"/>
              <w:bottom w:val="single" w:color="auto" w:sz="4" w:space="0"/>
              <w:right w:val="single" w:color="auto" w:sz="4" w:space="0"/>
            </w:tcBorders>
            <w:vAlign w:val="center"/>
          </w:tcPr>
          <w:p w14:paraId="44EE870F">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5B45806B">
            <w:pPr>
              <w:widowControl/>
              <w:jc w:val="center"/>
              <w:rPr>
                <w:rFonts w:hAnsi="宋体"/>
                <w:color w:val="auto"/>
                <w:sz w:val="21"/>
                <w:szCs w:val="21"/>
                <w:highlight w:val="none"/>
              </w:rPr>
            </w:pPr>
            <w:r>
              <w:rPr>
                <w:rFonts w:hAnsi="宋体"/>
                <w:color w:val="auto"/>
                <w:sz w:val="21"/>
                <w:szCs w:val="21"/>
                <w:highlight w:val="none"/>
              </w:rPr>
              <w:t>液压潜水泵</w:t>
            </w:r>
          </w:p>
        </w:tc>
        <w:tc>
          <w:tcPr>
            <w:tcW w:w="1347" w:type="dxa"/>
            <w:tcBorders>
              <w:top w:val="nil"/>
              <w:left w:val="nil"/>
              <w:bottom w:val="single" w:color="auto" w:sz="4" w:space="0"/>
              <w:right w:val="single" w:color="auto" w:sz="4" w:space="0"/>
            </w:tcBorders>
            <w:vAlign w:val="center"/>
          </w:tcPr>
          <w:p w14:paraId="38385B93">
            <w:pPr>
              <w:widowControl/>
              <w:jc w:val="center"/>
              <w:rPr>
                <w:rFonts w:hAnsi="宋体"/>
                <w:color w:val="auto"/>
                <w:sz w:val="21"/>
                <w:szCs w:val="21"/>
                <w:highlight w:val="none"/>
              </w:rPr>
            </w:pPr>
            <w:r>
              <w:rPr>
                <w:rFonts w:hAnsi="宋体"/>
                <w:color w:val="auto"/>
                <w:sz w:val="21"/>
                <w:szCs w:val="21"/>
                <w:highlight w:val="none"/>
              </w:rPr>
              <w:t>太仓应急(021)</w:t>
            </w:r>
          </w:p>
        </w:tc>
        <w:tc>
          <w:tcPr>
            <w:tcW w:w="1239" w:type="dxa"/>
            <w:tcBorders>
              <w:top w:val="nil"/>
              <w:left w:val="nil"/>
              <w:bottom w:val="single" w:color="auto" w:sz="4" w:space="0"/>
              <w:right w:val="single" w:color="auto" w:sz="4" w:space="0"/>
            </w:tcBorders>
            <w:vAlign w:val="center"/>
          </w:tcPr>
          <w:p w14:paraId="244050DF">
            <w:pPr>
              <w:widowControl/>
              <w:jc w:val="center"/>
              <w:rPr>
                <w:rFonts w:hAnsi="宋体"/>
                <w:color w:val="auto"/>
                <w:sz w:val="21"/>
                <w:szCs w:val="21"/>
                <w:highlight w:val="none"/>
              </w:rPr>
            </w:pPr>
            <w:r>
              <w:rPr>
                <w:rFonts w:hAnsi="宋体"/>
                <w:color w:val="auto"/>
                <w:sz w:val="21"/>
                <w:szCs w:val="21"/>
                <w:highlight w:val="none"/>
              </w:rPr>
              <w:t>口径200mm</w:t>
            </w:r>
          </w:p>
        </w:tc>
        <w:tc>
          <w:tcPr>
            <w:tcW w:w="532" w:type="dxa"/>
            <w:tcBorders>
              <w:top w:val="nil"/>
              <w:left w:val="nil"/>
              <w:bottom w:val="single" w:color="auto" w:sz="4" w:space="0"/>
              <w:right w:val="single" w:color="auto" w:sz="4" w:space="0"/>
            </w:tcBorders>
            <w:vAlign w:val="center"/>
          </w:tcPr>
          <w:p w14:paraId="0EB205A8">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7A6798D">
            <w:pPr>
              <w:widowControl/>
              <w:jc w:val="center"/>
              <w:rPr>
                <w:rFonts w:hAnsi="宋体"/>
                <w:color w:val="auto"/>
                <w:sz w:val="21"/>
                <w:szCs w:val="21"/>
                <w:highlight w:val="none"/>
              </w:rPr>
            </w:pPr>
            <w:r>
              <w:rPr>
                <w:rFonts w:hAnsi="宋体"/>
                <w:color w:val="auto"/>
                <w:sz w:val="21"/>
                <w:szCs w:val="21"/>
                <w:highlight w:val="none"/>
              </w:rPr>
              <w:t>SM3600</w:t>
            </w:r>
          </w:p>
        </w:tc>
        <w:tc>
          <w:tcPr>
            <w:tcW w:w="1143" w:type="dxa"/>
            <w:tcBorders>
              <w:top w:val="nil"/>
              <w:left w:val="nil"/>
              <w:bottom w:val="single" w:color="auto" w:sz="4" w:space="0"/>
              <w:right w:val="single" w:color="auto" w:sz="4" w:space="0"/>
            </w:tcBorders>
            <w:vAlign w:val="center"/>
          </w:tcPr>
          <w:p w14:paraId="222215C8">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45E67E3C">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377104A0">
            <w:pPr>
              <w:widowControl/>
              <w:jc w:val="center"/>
              <w:rPr>
                <w:rFonts w:hAnsi="宋体"/>
                <w:color w:val="auto"/>
                <w:sz w:val="21"/>
                <w:szCs w:val="21"/>
                <w:highlight w:val="none"/>
              </w:rPr>
            </w:pPr>
            <w:r>
              <w:rPr>
                <w:rFonts w:hAnsi="宋体"/>
                <w:color w:val="auto"/>
                <w:sz w:val="21"/>
                <w:szCs w:val="21"/>
                <w:highlight w:val="none"/>
              </w:rPr>
              <w:t>2</w:t>
            </w:r>
          </w:p>
        </w:tc>
      </w:tr>
      <w:tr w14:paraId="12BC3C0E">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04AE802">
            <w:pPr>
              <w:widowControl/>
              <w:jc w:val="center"/>
              <w:rPr>
                <w:rFonts w:hAnsi="宋体"/>
                <w:color w:val="auto"/>
                <w:sz w:val="21"/>
                <w:szCs w:val="21"/>
                <w:highlight w:val="none"/>
              </w:rPr>
            </w:pPr>
            <w:r>
              <w:rPr>
                <w:rFonts w:hAnsi="宋体"/>
                <w:color w:val="auto"/>
                <w:sz w:val="21"/>
                <w:szCs w:val="21"/>
                <w:highlight w:val="none"/>
              </w:rPr>
              <w:t>29</w:t>
            </w:r>
          </w:p>
        </w:tc>
        <w:tc>
          <w:tcPr>
            <w:tcW w:w="958" w:type="dxa"/>
            <w:tcBorders>
              <w:top w:val="nil"/>
              <w:left w:val="nil"/>
              <w:bottom w:val="single" w:color="auto" w:sz="4" w:space="0"/>
              <w:right w:val="single" w:color="auto" w:sz="4" w:space="0"/>
            </w:tcBorders>
            <w:vAlign w:val="center"/>
          </w:tcPr>
          <w:p w14:paraId="24DE5832">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FCFFA78">
            <w:pPr>
              <w:widowControl/>
              <w:jc w:val="center"/>
              <w:rPr>
                <w:rFonts w:hAnsi="宋体"/>
                <w:color w:val="auto"/>
                <w:sz w:val="21"/>
                <w:szCs w:val="21"/>
                <w:highlight w:val="none"/>
              </w:rPr>
            </w:pPr>
            <w:r>
              <w:rPr>
                <w:rFonts w:hAnsi="宋体"/>
                <w:color w:val="auto"/>
                <w:sz w:val="21"/>
                <w:szCs w:val="21"/>
                <w:highlight w:val="none"/>
              </w:rPr>
              <w:t>液压潜水泵</w:t>
            </w:r>
          </w:p>
        </w:tc>
        <w:tc>
          <w:tcPr>
            <w:tcW w:w="1347" w:type="dxa"/>
            <w:tcBorders>
              <w:top w:val="nil"/>
              <w:left w:val="nil"/>
              <w:bottom w:val="single" w:color="auto" w:sz="4" w:space="0"/>
              <w:right w:val="single" w:color="auto" w:sz="4" w:space="0"/>
            </w:tcBorders>
            <w:vAlign w:val="center"/>
          </w:tcPr>
          <w:p w14:paraId="559D82E0">
            <w:pPr>
              <w:widowControl/>
              <w:jc w:val="center"/>
              <w:rPr>
                <w:rFonts w:hAnsi="宋体"/>
                <w:color w:val="auto"/>
                <w:sz w:val="21"/>
                <w:szCs w:val="21"/>
                <w:highlight w:val="none"/>
              </w:rPr>
            </w:pPr>
            <w:r>
              <w:rPr>
                <w:rFonts w:hAnsi="宋体"/>
                <w:color w:val="auto"/>
                <w:sz w:val="21"/>
                <w:szCs w:val="21"/>
                <w:highlight w:val="none"/>
              </w:rPr>
              <w:t>太仓应急(022)</w:t>
            </w:r>
          </w:p>
        </w:tc>
        <w:tc>
          <w:tcPr>
            <w:tcW w:w="1239" w:type="dxa"/>
            <w:tcBorders>
              <w:top w:val="nil"/>
              <w:left w:val="nil"/>
              <w:bottom w:val="single" w:color="auto" w:sz="4" w:space="0"/>
              <w:right w:val="single" w:color="auto" w:sz="4" w:space="0"/>
            </w:tcBorders>
            <w:vAlign w:val="center"/>
          </w:tcPr>
          <w:p w14:paraId="046D6B26">
            <w:pPr>
              <w:widowControl/>
              <w:jc w:val="center"/>
              <w:rPr>
                <w:rFonts w:hAnsi="宋体"/>
                <w:color w:val="auto"/>
                <w:sz w:val="21"/>
                <w:szCs w:val="21"/>
                <w:highlight w:val="none"/>
              </w:rPr>
            </w:pPr>
            <w:r>
              <w:rPr>
                <w:rFonts w:hAnsi="宋体"/>
                <w:color w:val="auto"/>
                <w:sz w:val="21"/>
                <w:szCs w:val="21"/>
                <w:highlight w:val="none"/>
              </w:rPr>
              <w:t>口径200mm</w:t>
            </w:r>
          </w:p>
        </w:tc>
        <w:tc>
          <w:tcPr>
            <w:tcW w:w="532" w:type="dxa"/>
            <w:tcBorders>
              <w:top w:val="nil"/>
              <w:left w:val="nil"/>
              <w:bottom w:val="single" w:color="auto" w:sz="4" w:space="0"/>
              <w:right w:val="single" w:color="auto" w:sz="4" w:space="0"/>
            </w:tcBorders>
            <w:vAlign w:val="center"/>
          </w:tcPr>
          <w:p w14:paraId="0A1992F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4083CED">
            <w:pPr>
              <w:widowControl/>
              <w:jc w:val="center"/>
              <w:rPr>
                <w:rFonts w:hAnsi="宋体"/>
                <w:color w:val="auto"/>
                <w:sz w:val="21"/>
                <w:szCs w:val="21"/>
                <w:highlight w:val="none"/>
              </w:rPr>
            </w:pPr>
            <w:r>
              <w:rPr>
                <w:rFonts w:hAnsi="宋体"/>
                <w:color w:val="auto"/>
                <w:sz w:val="21"/>
                <w:szCs w:val="21"/>
                <w:highlight w:val="none"/>
              </w:rPr>
              <w:t>SM3600</w:t>
            </w:r>
          </w:p>
        </w:tc>
        <w:tc>
          <w:tcPr>
            <w:tcW w:w="1143" w:type="dxa"/>
            <w:tcBorders>
              <w:top w:val="nil"/>
              <w:left w:val="nil"/>
              <w:bottom w:val="single" w:color="auto" w:sz="4" w:space="0"/>
              <w:right w:val="single" w:color="auto" w:sz="4" w:space="0"/>
            </w:tcBorders>
            <w:vAlign w:val="center"/>
          </w:tcPr>
          <w:p w14:paraId="22950CDB">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297D4AA4">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7CC19884">
            <w:pPr>
              <w:widowControl/>
              <w:jc w:val="center"/>
              <w:rPr>
                <w:rFonts w:hAnsi="宋体"/>
                <w:color w:val="auto"/>
                <w:sz w:val="21"/>
                <w:szCs w:val="21"/>
                <w:highlight w:val="none"/>
              </w:rPr>
            </w:pPr>
            <w:r>
              <w:rPr>
                <w:rFonts w:hAnsi="宋体"/>
                <w:color w:val="auto"/>
                <w:sz w:val="21"/>
                <w:szCs w:val="21"/>
                <w:highlight w:val="none"/>
              </w:rPr>
              <w:t>2</w:t>
            </w:r>
          </w:p>
        </w:tc>
      </w:tr>
      <w:tr w14:paraId="6C3BFAF4">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035E214F">
            <w:pPr>
              <w:widowControl/>
              <w:jc w:val="center"/>
              <w:rPr>
                <w:rFonts w:hAnsi="宋体"/>
                <w:color w:val="auto"/>
                <w:sz w:val="21"/>
                <w:szCs w:val="21"/>
                <w:highlight w:val="none"/>
              </w:rPr>
            </w:pPr>
            <w:r>
              <w:rPr>
                <w:rFonts w:hAnsi="宋体"/>
                <w:color w:val="auto"/>
                <w:sz w:val="21"/>
                <w:szCs w:val="21"/>
                <w:highlight w:val="none"/>
              </w:rPr>
              <w:t>30</w:t>
            </w:r>
          </w:p>
        </w:tc>
        <w:tc>
          <w:tcPr>
            <w:tcW w:w="958" w:type="dxa"/>
            <w:tcBorders>
              <w:top w:val="nil"/>
              <w:left w:val="nil"/>
              <w:bottom w:val="single" w:color="auto" w:sz="4" w:space="0"/>
              <w:right w:val="single" w:color="auto" w:sz="4" w:space="0"/>
            </w:tcBorders>
            <w:vAlign w:val="center"/>
          </w:tcPr>
          <w:p w14:paraId="1287A657">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59A8478">
            <w:pPr>
              <w:widowControl/>
              <w:jc w:val="center"/>
              <w:rPr>
                <w:rFonts w:hAnsi="宋体"/>
                <w:color w:val="auto"/>
                <w:sz w:val="21"/>
                <w:szCs w:val="21"/>
                <w:highlight w:val="none"/>
              </w:rPr>
            </w:pPr>
            <w:r>
              <w:rPr>
                <w:rFonts w:hAnsi="宋体"/>
                <w:color w:val="auto"/>
                <w:sz w:val="21"/>
                <w:szCs w:val="21"/>
                <w:highlight w:val="none"/>
              </w:rPr>
              <w:t>液压潜水泵</w:t>
            </w:r>
          </w:p>
        </w:tc>
        <w:tc>
          <w:tcPr>
            <w:tcW w:w="1347" w:type="dxa"/>
            <w:tcBorders>
              <w:top w:val="nil"/>
              <w:left w:val="nil"/>
              <w:bottom w:val="single" w:color="auto" w:sz="4" w:space="0"/>
              <w:right w:val="single" w:color="auto" w:sz="4" w:space="0"/>
            </w:tcBorders>
            <w:vAlign w:val="center"/>
          </w:tcPr>
          <w:p w14:paraId="245BAEC6">
            <w:pPr>
              <w:widowControl/>
              <w:jc w:val="center"/>
              <w:rPr>
                <w:rFonts w:hAnsi="宋体"/>
                <w:color w:val="auto"/>
                <w:sz w:val="21"/>
                <w:szCs w:val="21"/>
                <w:highlight w:val="none"/>
              </w:rPr>
            </w:pPr>
            <w:r>
              <w:rPr>
                <w:rFonts w:hAnsi="宋体"/>
                <w:color w:val="auto"/>
                <w:sz w:val="21"/>
                <w:szCs w:val="21"/>
                <w:highlight w:val="none"/>
              </w:rPr>
              <w:t>太仓应急(023)</w:t>
            </w:r>
          </w:p>
        </w:tc>
        <w:tc>
          <w:tcPr>
            <w:tcW w:w="1239" w:type="dxa"/>
            <w:tcBorders>
              <w:top w:val="nil"/>
              <w:left w:val="nil"/>
              <w:bottom w:val="single" w:color="auto" w:sz="4" w:space="0"/>
              <w:right w:val="single" w:color="auto" w:sz="4" w:space="0"/>
            </w:tcBorders>
            <w:vAlign w:val="center"/>
          </w:tcPr>
          <w:p w14:paraId="0ED3FC6C">
            <w:pPr>
              <w:widowControl/>
              <w:jc w:val="center"/>
              <w:rPr>
                <w:rFonts w:hAnsi="宋体"/>
                <w:color w:val="auto"/>
                <w:sz w:val="21"/>
                <w:szCs w:val="21"/>
                <w:highlight w:val="none"/>
              </w:rPr>
            </w:pPr>
            <w:r>
              <w:rPr>
                <w:rFonts w:hAnsi="宋体"/>
                <w:color w:val="auto"/>
                <w:sz w:val="21"/>
                <w:szCs w:val="21"/>
                <w:highlight w:val="none"/>
              </w:rPr>
              <w:t>口径200mm</w:t>
            </w:r>
          </w:p>
        </w:tc>
        <w:tc>
          <w:tcPr>
            <w:tcW w:w="532" w:type="dxa"/>
            <w:tcBorders>
              <w:top w:val="nil"/>
              <w:left w:val="nil"/>
              <w:bottom w:val="single" w:color="auto" w:sz="4" w:space="0"/>
              <w:right w:val="single" w:color="auto" w:sz="4" w:space="0"/>
            </w:tcBorders>
            <w:vAlign w:val="center"/>
          </w:tcPr>
          <w:p w14:paraId="5529A16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54CAD66">
            <w:pPr>
              <w:widowControl/>
              <w:jc w:val="center"/>
              <w:rPr>
                <w:rFonts w:hAnsi="宋体"/>
                <w:color w:val="auto"/>
                <w:sz w:val="21"/>
                <w:szCs w:val="21"/>
                <w:highlight w:val="none"/>
              </w:rPr>
            </w:pPr>
            <w:r>
              <w:rPr>
                <w:rFonts w:hAnsi="宋体"/>
                <w:color w:val="auto"/>
                <w:sz w:val="21"/>
                <w:szCs w:val="21"/>
                <w:highlight w:val="none"/>
              </w:rPr>
              <w:t>SM3600</w:t>
            </w:r>
          </w:p>
        </w:tc>
        <w:tc>
          <w:tcPr>
            <w:tcW w:w="1143" w:type="dxa"/>
            <w:tcBorders>
              <w:top w:val="nil"/>
              <w:left w:val="nil"/>
              <w:bottom w:val="single" w:color="auto" w:sz="4" w:space="0"/>
              <w:right w:val="single" w:color="auto" w:sz="4" w:space="0"/>
            </w:tcBorders>
            <w:vAlign w:val="center"/>
          </w:tcPr>
          <w:p w14:paraId="5920DFBA">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0D7EB74B">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0A467E24">
            <w:pPr>
              <w:widowControl/>
              <w:jc w:val="center"/>
              <w:rPr>
                <w:rFonts w:hAnsi="宋体"/>
                <w:color w:val="auto"/>
                <w:sz w:val="21"/>
                <w:szCs w:val="21"/>
                <w:highlight w:val="none"/>
              </w:rPr>
            </w:pPr>
            <w:r>
              <w:rPr>
                <w:rFonts w:hAnsi="宋体"/>
                <w:color w:val="auto"/>
                <w:sz w:val="21"/>
                <w:szCs w:val="21"/>
                <w:highlight w:val="none"/>
              </w:rPr>
              <w:t>2</w:t>
            </w:r>
          </w:p>
        </w:tc>
      </w:tr>
      <w:tr w14:paraId="2BD2F78D">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56E08D9">
            <w:pPr>
              <w:widowControl/>
              <w:jc w:val="center"/>
              <w:rPr>
                <w:rFonts w:hAnsi="宋体"/>
                <w:color w:val="auto"/>
                <w:sz w:val="21"/>
                <w:szCs w:val="21"/>
                <w:highlight w:val="none"/>
              </w:rPr>
            </w:pPr>
            <w:r>
              <w:rPr>
                <w:rFonts w:hAnsi="宋体"/>
                <w:color w:val="auto"/>
                <w:sz w:val="21"/>
                <w:szCs w:val="21"/>
                <w:highlight w:val="none"/>
              </w:rPr>
              <w:t>31</w:t>
            </w:r>
          </w:p>
        </w:tc>
        <w:tc>
          <w:tcPr>
            <w:tcW w:w="958" w:type="dxa"/>
            <w:tcBorders>
              <w:top w:val="nil"/>
              <w:left w:val="nil"/>
              <w:bottom w:val="single" w:color="auto" w:sz="4" w:space="0"/>
              <w:right w:val="single" w:color="auto" w:sz="4" w:space="0"/>
            </w:tcBorders>
            <w:vAlign w:val="center"/>
          </w:tcPr>
          <w:p w14:paraId="32F673B3">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F656EB5">
            <w:pPr>
              <w:widowControl/>
              <w:jc w:val="center"/>
              <w:rPr>
                <w:rFonts w:hAnsi="宋体"/>
                <w:color w:val="auto"/>
                <w:sz w:val="21"/>
                <w:szCs w:val="21"/>
                <w:highlight w:val="none"/>
              </w:rPr>
            </w:pPr>
            <w:r>
              <w:rPr>
                <w:rFonts w:hAnsi="宋体"/>
                <w:color w:val="auto"/>
                <w:sz w:val="21"/>
                <w:szCs w:val="21"/>
                <w:highlight w:val="none"/>
              </w:rPr>
              <w:t>液压潜水泵</w:t>
            </w:r>
          </w:p>
        </w:tc>
        <w:tc>
          <w:tcPr>
            <w:tcW w:w="1347" w:type="dxa"/>
            <w:tcBorders>
              <w:top w:val="nil"/>
              <w:left w:val="nil"/>
              <w:bottom w:val="single" w:color="auto" w:sz="4" w:space="0"/>
              <w:right w:val="single" w:color="auto" w:sz="4" w:space="0"/>
            </w:tcBorders>
            <w:vAlign w:val="center"/>
          </w:tcPr>
          <w:p w14:paraId="2E773B97">
            <w:pPr>
              <w:widowControl/>
              <w:jc w:val="center"/>
              <w:rPr>
                <w:rFonts w:hAnsi="宋体"/>
                <w:color w:val="auto"/>
                <w:sz w:val="21"/>
                <w:szCs w:val="21"/>
                <w:highlight w:val="none"/>
              </w:rPr>
            </w:pPr>
            <w:r>
              <w:rPr>
                <w:rFonts w:hAnsi="宋体"/>
                <w:color w:val="auto"/>
                <w:sz w:val="21"/>
                <w:szCs w:val="21"/>
                <w:highlight w:val="none"/>
              </w:rPr>
              <w:t>太仓应急(024)</w:t>
            </w:r>
          </w:p>
        </w:tc>
        <w:tc>
          <w:tcPr>
            <w:tcW w:w="1239" w:type="dxa"/>
            <w:tcBorders>
              <w:top w:val="nil"/>
              <w:left w:val="nil"/>
              <w:bottom w:val="single" w:color="auto" w:sz="4" w:space="0"/>
              <w:right w:val="single" w:color="auto" w:sz="4" w:space="0"/>
            </w:tcBorders>
            <w:vAlign w:val="center"/>
          </w:tcPr>
          <w:p w14:paraId="7BF952A6">
            <w:pPr>
              <w:widowControl/>
              <w:jc w:val="center"/>
              <w:rPr>
                <w:rFonts w:hAnsi="宋体"/>
                <w:color w:val="auto"/>
                <w:sz w:val="21"/>
                <w:szCs w:val="21"/>
                <w:highlight w:val="none"/>
              </w:rPr>
            </w:pPr>
            <w:r>
              <w:rPr>
                <w:rFonts w:hAnsi="宋体"/>
                <w:color w:val="auto"/>
                <w:sz w:val="21"/>
                <w:szCs w:val="21"/>
                <w:highlight w:val="none"/>
              </w:rPr>
              <w:t>口径200mm</w:t>
            </w:r>
          </w:p>
        </w:tc>
        <w:tc>
          <w:tcPr>
            <w:tcW w:w="532" w:type="dxa"/>
            <w:tcBorders>
              <w:top w:val="nil"/>
              <w:left w:val="nil"/>
              <w:bottom w:val="single" w:color="auto" w:sz="4" w:space="0"/>
              <w:right w:val="single" w:color="auto" w:sz="4" w:space="0"/>
            </w:tcBorders>
            <w:vAlign w:val="center"/>
          </w:tcPr>
          <w:p w14:paraId="6FFCC1AF">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D91F765">
            <w:pPr>
              <w:widowControl/>
              <w:jc w:val="center"/>
              <w:rPr>
                <w:rFonts w:hAnsi="宋体"/>
                <w:color w:val="auto"/>
                <w:sz w:val="21"/>
                <w:szCs w:val="21"/>
                <w:highlight w:val="none"/>
              </w:rPr>
            </w:pPr>
            <w:r>
              <w:rPr>
                <w:rFonts w:hAnsi="宋体"/>
                <w:color w:val="auto"/>
                <w:sz w:val="21"/>
                <w:szCs w:val="21"/>
                <w:highlight w:val="none"/>
              </w:rPr>
              <w:t>SM3600</w:t>
            </w:r>
          </w:p>
        </w:tc>
        <w:tc>
          <w:tcPr>
            <w:tcW w:w="1143" w:type="dxa"/>
            <w:tcBorders>
              <w:top w:val="nil"/>
              <w:left w:val="nil"/>
              <w:bottom w:val="single" w:color="auto" w:sz="4" w:space="0"/>
              <w:right w:val="single" w:color="auto" w:sz="4" w:space="0"/>
            </w:tcBorders>
            <w:vAlign w:val="center"/>
          </w:tcPr>
          <w:p w14:paraId="57ACFCAC">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220D06F9">
            <w:pPr>
              <w:widowControl/>
              <w:jc w:val="center"/>
              <w:rPr>
                <w:rFonts w:hAnsi="宋体"/>
                <w:color w:val="auto"/>
                <w:sz w:val="21"/>
                <w:szCs w:val="21"/>
                <w:highlight w:val="none"/>
              </w:rPr>
            </w:pPr>
            <w:r>
              <w:rPr>
                <w:rFonts w:hAnsi="宋体"/>
                <w:color w:val="auto"/>
                <w:sz w:val="21"/>
                <w:szCs w:val="21"/>
                <w:highlight w:val="none"/>
              </w:rPr>
              <w:t>2021年7月</w:t>
            </w:r>
          </w:p>
        </w:tc>
        <w:tc>
          <w:tcPr>
            <w:tcW w:w="812" w:type="dxa"/>
            <w:tcBorders>
              <w:top w:val="nil"/>
              <w:left w:val="nil"/>
              <w:bottom w:val="single" w:color="auto" w:sz="4" w:space="0"/>
              <w:right w:val="single" w:color="auto" w:sz="4" w:space="0"/>
            </w:tcBorders>
            <w:vAlign w:val="center"/>
          </w:tcPr>
          <w:p w14:paraId="6F4673D1">
            <w:pPr>
              <w:widowControl/>
              <w:jc w:val="center"/>
              <w:rPr>
                <w:rFonts w:hAnsi="宋体"/>
                <w:color w:val="auto"/>
                <w:sz w:val="21"/>
                <w:szCs w:val="21"/>
                <w:highlight w:val="none"/>
              </w:rPr>
            </w:pPr>
            <w:r>
              <w:rPr>
                <w:rFonts w:hAnsi="宋体"/>
                <w:color w:val="auto"/>
                <w:sz w:val="21"/>
                <w:szCs w:val="21"/>
                <w:highlight w:val="none"/>
              </w:rPr>
              <w:t>2</w:t>
            </w:r>
          </w:p>
        </w:tc>
      </w:tr>
      <w:tr w14:paraId="102A9987">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037E373">
            <w:pPr>
              <w:widowControl/>
              <w:jc w:val="center"/>
              <w:rPr>
                <w:rFonts w:hAnsi="宋体"/>
                <w:color w:val="auto"/>
                <w:sz w:val="21"/>
                <w:szCs w:val="21"/>
                <w:highlight w:val="none"/>
              </w:rPr>
            </w:pPr>
            <w:r>
              <w:rPr>
                <w:rFonts w:hAnsi="宋体"/>
                <w:color w:val="auto"/>
                <w:sz w:val="21"/>
                <w:szCs w:val="21"/>
                <w:highlight w:val="none"/>
              </w:rPr>
              <w:t>32</w:t>
            </w:r>
          </w:p>
        </w:tc>
        <w:tc>
          <w:tcPr>
            <w:tcW w:w="958" w:type="dxa"/>
            <w:tcBorders>
              <w:top w:val="nil"/>
              <w:left w:val="nil"/>
              <w:bottom w:val="single" w:color="auto" w:sz="4" w:space="0"/>
              <w:right w:val="single" w:color="auto" w:sz="4" w:space="0"/>
            </w:tcBorders>
            <w:vAlign w:val="center"/>
          </w:tcPr>
          <w:p w14:paraId="393B09B8">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38B02D09">
            <w:pPr>
              <w:widowControl/>
              <w:jc w:val="center"/>
              <w:rPr>
                <w:rFonts w:hAnsi="宋体"/>
                <w:color w:val="auto"/>
                <w:sz w:val="21"/>
                <w:szCs w:val="21"/>
                <w:highlight w:val="none"/>
              </w:rPr>
            </w:pPr>
            <w:r>
              <w:rPr>
                <w:rFonts w:hAnsi="宋体"/>
                <w:color w:val="auto"/>
                <w:sz w:val="21"/>
                <w:szCs w:val="21"/>
                <w:highlight w:val="none"/>
              </w:rPr>
              <w:t>平板夯</w:t>
            </w:r>
          </w:p>
        </w:tc>
        <w:tc>
          <w:tcPr>
            <w:tcW w:w="1347" w:type="dxa"/>
            <w:tcBorders>
              <w:top w:val="nil"/>
              <w:left w:val="nil"/>
              <w:bottom w:val="single" w:color="auto" w:sz="4" w:space="0"/>
              <w:right w:val="single" w:color="auto" w:sz="4" w:space="0"/>
            </w:tcBorders>
            <w:vAlign w:val="center"/>
          </w:tcPr>
          <w:p w14:paraId="5D810FDF">
            <w:pPr>
              <w:widowControl/>
              <w:jc w:val="center"/>
              <w:rPr>
                <w:rFonts w:hAnsi="宋体"/>
                <w:color w:val="auto"/>
                <w:sz w:val="21"/>
                <w:szCs w:val="21"/>
                <w:highlight w:val="none"/>
              </w:rPr>
            </w:pPr>
            <w:r>
              <w:rPr>
                <w:rFonts w:hAnsi="宋体"/>
                <w:color w:val="auto"/>
                <w:sz w:val="21"/>
                <w:szCs w:val="21"/>
                <w:highlight w:val="none"/>
              </w:rPr>
              <w:t>太仓应急(025)</w:t>
            </w:r>
          </w:p>
        </w:tc>
        <w:tc>
          <w:tcPr>
            <w:tcW w:w="1239" w:type="dxa"/>
            <w:tcBorders>
              <w:top w:val="nil"/>
              <w:left w:val="nil"/>
              <w:bottom w:val="single" w:color="auto" w:sz="4" w:space="0"/>
              <w:right w:val="single" w:color="auto" w:sz="4" w:space="0"/>
            </w:tcBorders>
            <w:vAlign w:val="center"/>
          </w:tcPr>
          <w:p w14:paraId="410CEDFC">
            <w:pPr>
              <w:widowControl/>
              <w:jc w:val="center"/>
              <w:rPr>
                <w:rFonts w:hAnsi="宋体"/>
                <w:color w:val="auto"/>
                <w:sz w:val="21"/>
                <w:szCs w:val="21"/>
                <w:highlight w:val="none"/>
              </w:rPr>
            </w:pPr>
            <w:r>
              <w:rPr>
                <w:rFonts w:hAnsi="宋体"/>
                <w:color w:val="auto"/>
                <w:sz w:val="21"/>
                <w:szCs w:val="21"/>
                <w:highlight w:val="none"/>
              </w:rPr>
              <w:t>15KN</w:t>
            </w:r>
          </w:p>
        </w:tc>
        <w:tc>
          <w:tcPr>
            <w:tcW w:w="532" w:type="dxa"/>
            <w:tcBorders>
              <w:top w:val="nil"/>
              <w:left w:val="nil"/>
              <w:bottom w:val="single" w:color="auto" w:sz="4" w:space="0"/>
              <w:right w:val="single" w:color="auto" w:sz="4" w:space="0"/>
            </w:tcBorders>
            <w:vAlign w:val="center"/>
          </w:tcPr>
          <w:p w14:paraId="054688D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5258B81">
            <w:pPr>
              <w:widowControl/>
              <w:jc w:val="center"/>
              <w:rPr>
                <w:rFonts w:hAnsi="宋体"/>
                <w:color w:val="auto"/>
                <w:sz w:val="21"/>
                <w:szCs w:val="21"/>
                <w:highlight w:val="none"/>
              </w:rPr>
            </w:pPr>
            <w:r>
              <w:rPr>
                <w:rFonts w:hAnsi="宋体"/>
                <w:color w:val="auto"/>
                <w:sz w:val="21"/>
                <w:szCs w:val="21"/>
                <w:highlight w:val="none"/>
              </w:rPr>
              <w:t>MVC-T90R</w:t>
            </w:r>
          </w:p>
        </w:tc>
        <w:tc>
          <w:tcPr>
            <w:tcW w:w="1143" w:type="dxa"/>
            <w:tcBorders>
              <w:top w:val="nil"/>
              <w:left w:val="nil"/>
              <w:bottom w:val="single" w:color="auto" w:sz="4" w:space="0"/>
              <w:right w:val="single" w:color="auto" w:sz="4" w:space="0"/>
            </w:tcBorders>
            <w:vAlign w:val="center"/>
          </w:tcPr>
          <w:p w14:paraId="1BB212BE">
            <w:pPr>
              <w:widowControl/>
              <w:jc w:val="center"/>
              <w:rPr>
                <w:rFonts w:hAnsi="宋体"/>
                <w:color w:val="auto"/>
                <w:sz w:val="21"/>
                <w:szCs w:val="21"/>
                <w:highlight w:val="none"/>
              </w:rPr>
            </w:pPr>
            <w:r>
              <w:rPr>
                <w:rFonts w:hAnsi="宋体"/>
                <w:color w:val="auto"/>
                <w:sz w:val="21"/>
                <w:szCs w:val="21"/>
                <w:highlight w:val="none"/>
              </w:rPr>
              <w:t>三笠</w:t>
            </w:r>
          </w:p>
        </w:tc>
        <w:tc>
          <w:tcPr>
            <w:tcW w:w="1424" w:type="dxa"/>
            <w:tcBorders>
              <w:top w:val="nil"/>
              <w:left w:val="nil"/>
              <w:bottom w:val="single" w:color="auto" w:sz="4" w:space="0"/>
              <w:right w:val="single" w:color="auto" w:sz="4" w:space="0"/>
            </w:tcBorders>
            <w:noWrap/>
            <w:vAlign w:val="center"/>
          </w:tcPr>
          <w:p w14:paraId="0475941A">
            <w:pPr>
              <w:widowControl/>
              <w:jc w:val="center"/>
              <w:rPr>
                <w:rFonts w:hAnsi="宋体"/>
                <w:color w:val="auto"/>
                <w:sz w:val="21"/>
                <w:szCs w:val="21"/>
                <w:highlight w:val="none"/>
              </w:rPr>
            </w:pPr>
            <w:r>
              <w:rPr>
                <w:rFonts w:hAnsi="宋体"/>
                <w:color w:val="auto"/>
                <w:sz w:val="21"/>
                <w:szCs w:val="21"/>
                <w:highlight w:val="none"/>
              </w:rPr>
              <w:t>2014年12月</w:t>
            </w:r>
          </w:p>
        </w:tc>
        <w:tc>
          <w:tcPr>
            <w:tcW w:w="812" w:type="dxa"/>
            <w:tcBorders>
              <w:top w:val="nil"/>
              <w:left w:val="nil"/>
              <w:bottom w:val="single" w:color="auto" w:sz="4" w:space="0"/>
              <w:right w:val="single" w:color="auto" w:sz="4" w:space="0"/>
            </w:tcBorders>
            <w:vAlign w:val="center"/>
          </w:tcPr>
          <w:p w14:paraId="6C81A423">
            <w:pPr>
              <w:widowControl/>
              <w:jc w:val="center"/>
              <w:rPr>
                <w:rFonts w:hAnsi="宋体"/>
                <w:color w:val="auto"/>
                <w:sz w:val="21"/>
                <w:szCs w:val="21"/>
                <w:highlight w:val="none"/>
              </w:rPr>
            </w:pPr>
            <w:r>
              <w:rPr>
                <w:rFonts w:hAnsi="宋体"/>
                <w:color w:val="auto"/>
                <w:sz w:val="21"/>
                <w:szCs w:val="21"/>
                <w:highlight w:val="none"/>
              </w:rPr>
              <w:t>2</w:t>
            </w:r>
          </w:p>
        </w:tc>
      </w:tr>
      <w:tr w14:paraId="0CA6303E">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7F3E4B47">
            <w:pPr>
              <w:widowControl/>
              <w:jc w:val="center"/>
              <w:rPr>
                <w:rFonts w:hAnsi="宋体"/>
                <w:color w:val="auto"/>
                <w:sz w:val="21"/>
                <w:szCs w:val="21"/>
                <w:highlight w:val="none"/>
              </w:rPr>
            </w:pPr>
            <w:r>
              <w:rPr>
                <w:rFonts w:hAnsi="宋体"/>
                <w:color w:val="auto"/>
                <w:sz w:val="21"/>
                <w:szCs w:val="21"/>
                <w:highlight w:val="none"/>
              </w:rPr>
              <w:t>33</w:t>
            </w:r>
          </w:p>
        </w:tc>
        <w:tc>
          <w:tcPr>
            <w:tcW w:w="958" w:type="dxa"/>
            <w:tcBorders>
              <w:top w:val="nil"/>
              <w:left w:val="nil"/>
              <w:bottom w:val="single" w:color="auto" w:sz="4" w:space="0"/>
              <w:right w:val="single" w:color="auto" w:sz="4" w:space="0"/>
            </w:tcBorders>
            <w:vAlign w:val="center"/>
          </w:tcPr>
          <w:p w14:paraId="58AD32AA">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6BB5C011">
            <w:pPr>
              <w:widowControl/>
              <w:jc w:val="center"/>
              <w:rPr>
                <w:rFonts w:hAnsi="宋体"/>
                <w:color w:val="auto"/>
                <w:sz w:val="21"/>
                <w:szCs w:val="21"/>
                <w:highlight w:val="none"/>
              </w:rPr>
            </w:pPr>
            <w:r>
              <w:rPr>
                <w:rFonts w:hAnsi="宋体"/>
                <w:color w:val="auto"/>
                <w:sz w:val="21"/>
                <w:szCs w:val="21"/>
                <w:highlight w:val="none"/>
              </w:rPr>
              <w:t>吸尘器</w:t>
            </w:r>
          </w:p>
        </w:tc>
        <w:tc>
          <w:tcPr>
            <w:tcW w:w="1347" w:type="dxa"/>
            <w:tcBorders>
              <w:top w:val="nil"/>
              <w:left w:val="nil"/>
              <w:bottom w:val="single" w:color="auto" w:sz="4" w:space="0"/>
              <w:right w:val="single" w:color="auto" w:sz="4" w:space="0"/>
            </w:tcBorders>
            <w:vAlign w:val="center"/>
          </w:tcPr>
          <w:p w14:paraId="572FD87B">
            <w:pPr>
              <w:widowControl/>
              <w:jc w:val="center"/>
              <w:rPr>
                <w:rFonts w:hAnsi="宋体"/>
                <w:color w:val="auto"/>
                <w:sz w:val="21"/>
                <w:szCs w:val="21"/>
                <w:highlight w:val="none"/>
              </w:rPr>
            </w:pPr>
            <w:r>
              <w:rPr>
                <w:rFonts w:hAnsi="宋体"/>
                <w:color w:val="auto"/>
                <w:sz w:val="21"/>
                <w:szCs w:val="21"/>
                <w:highlight w:val="none"/>
              </w:rPr>
              <w:t>太仓应急(026)</w:t>
            </w:r>
          </w:p>
        </w:tc>
        <w:tc>
          <w:tcPr>
            <w:tcW w:w="1239" w:type="dxa"/>
            <w:tcBorders>
              <w:top w:val="nil"/>
              <w:left w:val="nil"/>
              <w:bottom w:val="single" w:color="auto" w:sz="4" w:space="0"/>
              <w:right w:val="single" w:color="auto" w:sz="4" w:space="0"/>
            </w:tcBorders>
            <w:vAlign w:val="center"/>
          </w:tcPr>
          <w:p w14:paraId="236D2281">
            <w:pPr>
              <w:widowControl/>
              <w:jc w:val="center"/>
              <w:rPr>
                <w:rFonts w:hAnsi="宋体"/>
                <w:color w:val="auto"/>
                <w:sz w:val="21"/>
                <w:szCs w:val="21"/>
                <w:highlight w:val="none"/>
              </w:rPr>
            </w:pPr>
            <w:r>
              <w:rPr>
                <w:rFonts w:hAnsi="宋体"/>
                <w:color w:val="auto"/>
                <w:sz w:val="21"/>
                <w:szCs w:val="21"/>
                <w:highlight w:val="none"/>
              </w:rPr>
              <w:t>9.3kw</w:t>
            </w:r>
          </w:p>
        </w:tc>
        <w:tc>
          <w:tcPr>
            <w:tcW w:w="532" w:type="dxa"/>
            <w:tcBorders>
              <w:top w:val="nil"/>
              <w:left w:val="nil"/>
              <w:bottom w:val="single" w:color="auto" w:sz="4" w:space="0"/>
              <w:right w:val="single" w:color="auto" w:sz="4" w:space="0"/>
            </w:tcBorders>
            <w:vAlign w:val="center"/>
          </w:tcPr>
          <w:p w14:paraId="1BD74D19">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D53F230">
            <w:pPr>
              <w:widowControl/>
              <w:jc w:val="center"/>
              <w:rPr>
                <w:rFonts w:hAnsi="宋体"/>
                <w:color w:val="auto"/>
                <w:sz w:val="21"/>
                <w:szCs w:val="21"/>
                <w:highlight w:val="none"/>
              </w:rPr>
            </w:pPr>
            <w:r>
              <w:rPr>
                <w:rFonts w:hAnsi="宋体"/>
                <w:color w:val="auto"/>
                <w:sz w:val="21"/>
                <w:szCs w:val="21"/>
                <w:highlight w:val="none"/>
              </w:rPr>
              <w:t>QY-75J</w:t>
            </w:r>
          </w:p>
        </w:tc>
        <w:tc>
          <w:tcPr>
            <w:tcW w:w="1143" w:type="dxa"/>
            <w:tcBorders>
              <w:top w:val="nil"/>
              <w:left w:val="nil"/>
              <w:bottom w:val="single" w:color="auto" w:sz="4" w:space="0"/>
              <w:right w:val="single" w:color="auto" w:sz="4" w:space="0"/>
            </w:tcBorders>
            <w:vAlign w:val="center"/>
          </w:tcPr>
          <w:p w14:paraId="22963002">
            <w:pPr>
              <w:widowControl/>
              <w:jc w:val="center"/>
              <w:rPr>
                <w:rFonts w:hAnsi="宋体"/>
                <w:color w:val="auto"/>
                <w:sz w:val="21"/>
                <w:szCs w:val="21"/>
                <w:highlight w:val="none"/>
              </w:rPr>
            </w:pPr>
            <w:r>
              <w:rPr>
                <w:rFonts w:hAnsi="宋体"/>
                <w:color w:val="auto"/>
                <w:sz w:val="21"/>
                <w:szCs w:val="21"/>
                <w:highlight w:val="none"/>
              </w:rPr>
              <w:t>上海威德尔</w:t>
            </w:r>
          </w:p>
        </w:tc>
        <w:tc>
          <w:tcPr>
            <w:tcW w:w="1424" w:type="dxa"/>
            <w:tcBorders>
              <w:top w:val="nil"/>
              <w:left w:val="nil"/>
              <w:bottom w:val="single" w:color="auto" w:sz="4" w:space="0"/>
              <w:right w:val="single" w:color="auto" w:sz="4" w:space="0"/>
            </w:tcBorders>
            <w:noWrap/>
            <w:vAlign w:val="center"/>
          </w:tcPr>
          <w:p w14:paraId="572997FA">
            <w:pPr>
              <w:widowControl/>
              <w:jc w:val="center"/>
              <w:rPr>
                <w:rFonts w:hAnsi="宋体"/>
                <w:color w:val="auto"/>
                <w:sz w:val="21"/>
                <w:szCs w:val="21"/>
                <w:highlight w:val="none"/>
              </w:rPr>
            </w:pPr>
            <w:r>
              <w:rPr>
                <w:rFonts w:hAnsi="宋体"/>
                <w:color w:val="auto"/>
                <w:sz w:val="21"/>
                <w:szCs w:val="21"/>
                <w:highlight w:val="none"/>
              </w:rPr>
              <w:t>2020年11月</w:t>
            </w:r>
          </w:p>
        </w:tc>
        <w:tc>
          <w:tcPr>
            <w:tcW w:w="812" w:type="dxa"/>
            <w:tcBorders>
              <w:top w:val="nil"/>
              <w:left w:val="nil"/>
              <w:bottom w:val="single" w:color="auto" w:sz="4" w:space="0"/>
              <w:right w:val="single" w:color="auto" w:sz="4" w:space="0"/>
            </w:tcBorders>
            <w:vAlign w:val="center"/>
          </w:tcPr>
          <w:p w14:paraId="54C6A311">
            <w:pPr>
              <w:widowControl/>
              <w:jc w:val="center"/>
              <w:rPr>
                <w:rFonts w:hAnsi="宋体"/>
                <w:color w:val="auto"/>
                <w:sz w:val="21"/>
                <w:szCs w:val="21"/>
                <w:highlight w:val="none"/>
              </w:rPr>
            </w:pPr>
            <w:r>
              <w:rPr>
                <w:rFonts w:hAnsi="宋体"/>
                <w:color w:val="auto"/>
                <w:sz w:val="21"/>
                <w:szCs w:val="21"/>
                <w:highlight w:val="none"/>
              </w:rPr>
              <w:t>2</w:t>
            </w:r>
          </w:p>
        </w:tc>
      </w:tr>
      <w:tr w14:paraId="0BC353A5">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CD1E657">
            <w:pPr>
              <w:widowControl/>
              <w:jc w:val="center"/>
              <w:rPr>
                <w:rFonts w:hAnsi="宋体"/>
                <w:color w:val="auto"/>
                <w:sz w:val="21"/>
                <w:szCs w:val="21"/>
                <w:highlight w:val="none"/>
              </w:rPr>
            </w:pPr>
            <w:r>
              <w:rPr>
                <w:rFonts w:hAnsi="宋体"/>
                <w:color w:val="auto"/>
                <w:sz w:val="21"/>
                <w:szCs w:val="21"/>
                <w:highlight w:val="none"/>
              </w:rPr>
              <w:t>34</w:t>
            </w:r>
          </w:p>
        </w:tc>
        <w:tc>
          <w:tcPr>
            <w:tcW w:w="958" w:type="dxa"/>
            <w:tcBorders>
              <w:top w:val="nil"/>
              <w:left w:val="nil"/>
              <w:bottom w:val="single" w:color="auto" w:sz="4" w:space="0"/>
              <w:right w:val="single" w:color="auto" w:sz="4" w:space="0"/>
            </w:tcBorders>
            <w:vAlign w:val="center"/>
          </w:tcPr>
          <w:p w14:paraId="5EF13773">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4EB6430">
            <w:pPr>
              <w:widowControl/>
              <w:jc w:val="center"/>
              <w:rPr>
                <w:rFonts w:hAnsi="宋体"/>
                <w:color w:val="auto"/>
                <w:sz w:val="21"/>
                <w:szCs w:val="21"/>
                <w:highlight w:val="none"/>
              </w:rPr>
            </w:pPr>
            <w:r>
              <w:rPr>
                <w:rFonts w:hAnsi="宋体"/>
                <w:color w:val="auto"/>
                <w:sz w:val="21"/>
                <w:szCs w:val="21"/>
                <w:highlight w:val="none"/>
              </w:rPr>
              <w:t>移动照明灯</w:t>
            </w:r>
          </w:p>
        </w:tc>
        <w:tc>
          <w:tcPr>
            <w:tcW w:w="1347" w:type="dxa"/>
            <w:tcBorders>
              <w:top w:val="nil"/>
              <w:left w:val="nil"/>
              <w:bottom w:val="single" w:color="auto" w:sz="4" w:space="0"/>
              <w:right w:val="single" w:color="auto" w:sz="4" w:space="0"/>
            </w:tcBorders>
            <w:vAlign w:val="center"/>
          </w:tcPr>
          <w:p w14:paraId="18DD01DA">
            <w:pPr>
              <w:widowControl/>
              <w:jc w:val="center"/>
              <w:rPr>
                <w:rFonts w:hAnsi="宋体"/>
                <w:color w:val="auto"/>
                <w:sz w:val="21"/>
                <w:szCs w:val="21"/>
                <w:highlight w:val="none"/>
              </w:rPr>
            </w:pPr>
            <w:r>
              <w:rPr>
                <w:rFonts w:hAnsi="宋体"/>
                <w:color w:val="auto"/>
                <w:sz w:val="21"/>
                <w:szCs w:val="21"/>
                <w:highlight w:val="none"/>
              </w:rPr>
              <w:t>太仓应急(027)</w:t>
            </w:r>
          </w:p>
        </w:tc>
        <w:tc>
          <w:tcPr>
            <w:tcW w:w="1239" w:type="dxa"/>
            <w:tcBorders>
              <w:top w:val="nil"/>
              <w:left w:val="nil"/>
              <w:bottom w:val="single" w:color="auto" w:sz="4" w:space="0"/>
              <w:right w:val="single" w:color="auto" w:sz="4" w:space="0"/>
            </w:tcBorders>
            <w:vAlign w:val="center"/>
          </w:tcPr>
          <w:p w14:paraId="040700D1">
            <w:pPr>
              <w:widowControl/>
              <w:jc w:val="center"/>
              <w:rPr>
                <w:rFonts w:hAnsi="宋体"/>
                <w:color w:val="auto"/>
                <w:sz w:val="21"/>
                <w:szCs w:val="21"/>
                <w:highlight w:val="none"/>
              </w:rPr>
            </w:pPr>
            <w:r>
              <w:rPr>
                <w:rFonts w:hAnsi="宋体"/>
                <w:color w:val="auto"/>
                <w:sz w:val="21"/>
                <w:szCs w:val="21"/>
                <w:highlight w:val="none"/>
              </w:rPr>
              <w:t>1000W×4</w:t>
            </w:r>
          </w:p>
        </w:tc>
        <w:tc>
          <w:tcPr>
            <w:tcW w:w="532" w:type="dxa"/>
            <w:tcBorders>
              <w:top w:val="nil"/>
              <w:left w:val="nil"/>
              <w:bottom w:val="single" w:color="auto" w:sz="4" w:space="0"/>
              <w:right w:val="single" w:color="auto" w:sz="4" w:space="0"/>
            </w:tcBorders>
            <w:vAlign w:val="center"/>
          </w:tcPr>
          <w:p w14:paraId="5244B90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B7BA97D">
            <w:pPr>
              <w:widowControl/>
              <w:jc w:val="center"/>
              <w:rPr>
                <w:rFonts w:hAnsi="宋体"/>
                <w:color w:val="auto"/>
                <w:sz w:val="21"/>
                <w:szCs w:val="21"/>
                <w:highlight w:val="none"/>
              </w:rPr>
            </w:pPr>
            <w:r>
              <w:rPr>
                <w:rFonts w:hAnsi="宋体"/>
                <w:color w:val="auto"/>
                <w:sz w:val="21"/>
                <w:szCs w:val="21"/>
                <w:highlight w:val="none"/>
              </w:rPr>
              <w:t>RS-1000W-4</w:t>
            </w:r>
          </w:p>
        </w:tc>
        <w:tc>
          <w:tcPr>
            <w:tcW w:w="1143" w:type="dxa"/>
            <w:tcBorders>
              <w:top w:val="nil"/>
              <w:left w:val="nil"/>
              <w:bottom w:val="single" w:color="auto" w:sz="4" w:space="0"/>
              <w:right w:val="single" w:color="auto" w:sz="4" w:space="0"/>
            </w:tcBorders>
            <w:vAlign w:val="center"/>
          </w:tcPr>
          <w:p w14:paraId="40805D1A">
            <w:pPr>
              <w:widowControl/>
              <w:jc w:val="center"/>
              <w:rPr>
                <w:rFonts w:hAnsi="宋体"/>
                <w:color w:val="auto"/>
                <w:sz w:val="21"/>
                <w:szCs w:val="21"/>
                <w:highlight w:val="none"/>
              </w:rPr>
            </w:pPr>
            <w:r>
              <w:rPr>
                <w:rFonts w:hAnsi="宋体"/>
                <w:color w:val="auto"/>
                <w:sz w:val="21"/>
                <w:szCs w:val="21"/>
                <w:highlight w:val="none"/>
              </w:rPr>
              <w:t>道恩</w:t>
            </w:r>
          </w:p>
        </w:tc>
        <w:tc>
          <w:tcPr>
            <w:tcW w:w="1424" w:type="dxa"/>
            <w:tcBorders>
              <w:top w:val="nil"/>
              <w:left w:val="nil"/>
              <w:bottom w:val="single" w:color="auto" w:sz="4" w:space="0"/>
              <w:right w:val="single" w:color="auto" w:sz="4" w:space="0"/>
            </w:tcBorders>
            <w:noWrap/>
            <w:vAlign w:val="center"/>
          </w:tcPr>
          <w:p w14:paraId="1A0BADF8">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35950B31">
            <w:pPr>
              <w:widowControl/>
              <w:jc w:val="center"/>
              <w:rPr>
                <w:rFonts w:hAnsi="宋体"/>
                <w:color w:val="auto"/>
                <w:sz w:val="21"/>
                <w:szCs w:val="21"/>
                <w:highlight w:val="none"/>
              </w:rPr>
            </w:pPr>
            <w:r>
              <w:rPr>
                <w:rFonts w:hAnsi="宋体"/>
                <w:color w:val="auto"/>
                <w:sz w:val="21"/>
                <w:szCs w:val="21"/>
                <w:highlight w:val="none"/>
              </w:rPr>
              <w:t>2</w:t>
            </w:r>
          </w:p>
        </w:tc>
      </w:tr>
      <w:tr w14:paraId="37D18A5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67D35BD8">
            <w:pPr>
              <w:widowControl/>
              <w:jc w:val="center"/>
              <w:rPr>
                <w:rFonts w:hAnsi="宋体"/>
                <w:color w:val="auto"/>
                <w:sz w:val="21"/>
                <w:szCs w:val="21"/>
                <w:highlight w:val="none"/>
              </w:rPr>
            </w:pPr>
            <w:r>
              <w:rPr>
                <w:rFonts w:hAnsi="宋体"/>
                <w:color w:val="auto"/>
                <w:sz w:val="21"/>
                <w:szCs w:val="21"/>
                <w:highlight w:val="none"/>
              </w:rPr>
              <w:t>35</w:t>
            </w:r>
          </w:p>
        </w:tc>
        <w:tc>
          <w:tcPr>
            <w:tcW w:w="958" w:type="dxa"/>
            <w:tcBorders>
              <w:top w:val="nil"/>
              <w:left w:val="nil"/>
              <w:bottom w:val="single" w:color="auto" w:sz="4" w:space="0"/>
              <w:right w:val="single" w:color="auto" w:sz="4" w:space="0"/>
            </w:tcBorders>
            <w:vAlign w:val="center"/>
          </w:tcPr>
          <w:p w14:paraId="701C38F9">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57D3E302">
            <w:pPr>
              <w:widowControl/>
              <w:jc w:val="center"/>
              <w:rPr>
                <w:rFonts w:hAnsi="宋体"/>
                <w:color w:val="auto"/>
                <w:sz w:val="21"/>
                <w:szCs w:val="21"/>
                <w:highlight w:val="none"/>
              </w:rPr>
            </w:pPr>
            <w:r>
              <w:rPr>
                <w:rFonts w:hAnsi="宋体"/>
                <w:color w:val="auto"/>
                <w:sz w:val="21"/>
                <w:szCs w:val="21"/>
                <w:highlight w:val="none"/>
              </w:rPr>
              <w:t>移动照明灯</w:t>
            </w:r>
          </w:p>
        </w:tc>
        <w:tc>
          <w:tcPr>
            <w:tcW w:w="1347" w:type="dxa"/>
            <w:tcBorders>
              <w:top w:val="nil"/>
              <w:left w:val="nil"/>
              <w:bottom w:val="single" w:color="auto" w:sz="4" w:space="0"/>
              <w:right w:val="single" w:color="auto" w:sz="4" w:space="0"/>
            </w:tcBorders>
            <w:vAlign w:val="center"/>
          </w:tcPr>
          <w:p w14:paraId="6A2FA153">
            <w:pPr>
              <w:widowControl/>
              <w:jc w:val="center"/>
              <w:rPr>
                <w:rFonts w:hAnsi="宋体"/>
                <w:color w:val="auto"/>
                <w:sz w:val="21"/>
                <w:szCs w:val="21"/>
                <w:highlight w:val="none"/>
              </w:rPr>
            </w:pPr>
            <w:r>
              <w:rPr>
                <w:rFonts w:hAnsi="宋体"/>
                <w:color w:val="auto"/>
                <w:sz w:val="21"/>
                <w:szCs w:val="21"/>
                <w:highlight w:val="none"/>
              </w:rPr>
              <w:t>太仓应急(028)</w:t>
            </w:r>
          </w:p>
        </w:tc>
        <w:tc>
          <w:tcPr>
            <w:tcW w:w="1239" w:type="dxa"/>
            <w:tcBorders>
              <w:top w:val="nil"/>
              <w:left w:val="nil"/>
              <w:bottom w:val="single" w:color="auto" w:sz="4" w:space="0"/>
              <w:right w:val="single" w:color="auto" w:sz="4" w:space="0"/>
            </w:tcBorders>
            <w:vAlign w:val="center"/>
          </w:tcPr>
          <w:p w14:paraId="384DDE7A">
            <w:pPr>
              <w:widowControl/>
              <w:jc w:val="center"/>
              <w:rPr>
                <w:rFonts w:hAnsi="宋体"/>
                <w:color w:val="auto"/>
                <w:sz w:val="21"/>
                <w:szCs w:val="21"/>
                <w:highlight w:val="none"/>
              </w:rPr>
            </w:pPr>
            <w:r>
              <w:rPr>
                <w:rFonts w:hAnsi="宋体"/>
                <w:color w:val="auto"/>
                <w:sz w:val="21"/>
                <w:szCs w:val="21"/>
                <w:highlight w:val="none"/>
              </w:rPr>
              <w:t>500W×2</w:t>
            </w:r>
          </w:p>
        </w:tc>
        <w:tc>
          <w:tcPr>
            <w:tcW w:w="532" w:type="dxa"/>
            <w:tcBorders>
              <w:top w:val="nil"/>
              <w:left w:val="nil"/>
              <w:bottom w:val="single" w:color="auto" w:sz="4" w:space="0"/>
              <w:right w:val="single" w:color="auto" w:sz="4" w:space="0"/>
            </w:tcBorders>
            <w:vAlign w:val="center"/>
          </w:tcPr>
          <w:p w14:paraId="7BF59F4E">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210D92E6">
            <w:pPr>
              <w:widowControl/>
              <w:jc w:val="center"/>
              <w:rPr>
                <w:rFonts w:hAnsi="宋体"/>
                <w:color w:val="auto"/>
                <w:sz w:val="21"/>
                <w:szCs w:val="21"/>
                <w:highlight w:val="none"/>
              </w:rPr>
            </w:pPr>
            <w:r>
              <w:rPr>
                <w:rFonts w:hAnsi="宋体"/>
                <w:color w:val="auto"/>
                <w:sz w:val="21"/>
                <w:szCs w:val="21"/>
                <w:highlight w:val="none"/>
              </w:rPr>
              <w:t>RS6110B</w:t>
            </w:r>
          </w:p>
        </w:tc>
        <w:tc>
          <w:tcPr>
            <w:tcW w:w="1143" w:type="dxa"/>
            <w:tcBorders>
              <w:top w:val="nil"/>
              <w:left w:val="nil"/>
              <w:bottom w:val="single" w:color="auto" w:sz="4" w:space="0"/>
              <w:right w:val="single" w:color="auto" w:sz="4" w:space="0"/>
            </w:tcBorders>
            <w:vAlign w:val="center"/>
          </w:tcPr>
          <w:p w14:paraId="3F3191F4">
            <w:pPr>
              <w:widowControl/>
              <w:jc w:val="center"/>
              <w:rPr>
                <w:rFonts w:hAnsi="宋体"/>
                <w:color w:val="auto"/>
                <w:sz w:val="21"/>
                <w:szCs w:val="21"/>
                <w:highlight w:val="none"/>
              </w:rPr>
            </w:pPr>
            <w:r>
              <w:rPr>
                <w:rFonts w:hAnsi="宋体"/>
                <w:color w:val="auto"/>
                <w:sz w:val="21"/>
                <w:szCs w:val="21"/>
                <w:highlight w:val="none"/>
              </w:rPr>
              <w:t>道恩</w:t>
            </w:r>
          </w:p>
        </w:tc>
        <w:tc>
          <w:tcPr>
            <w:tcW w:w="1424" w:type="dxa"/>
            <w:tcBorders>
              <w:top w:val="nil"/>
              <w:left w:val="nil"/>
              <w:bottom w:val="single" w:color="auto" w:sz="4" w:space="0"/>
              <w:right w:val="single" w:color="auto" w:sz="4" w:space="0"/>
            </w:tcBorders>
            <w:noWrap/>
            <w:vAlign w:val="center"/>
          </w:tcPr>
          <w:p w14:paraId="0F97F99A">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71454B57">
            <w:pPr>
              <w:widowControl/>
              <w:jc w:val="center"/>
              <w:rPr>
                <w:rFonts w:hAnsi="宋体"/>
                <w:color w:val="auto"/>
                <w:sz w:val="21"/>
                <w:szCs w:val="21"/>
                <w:highlight w:val="none"/>
              </w:rPr>
            </w:pPr>
            <w:r>
              <w:rPr>
                <w:rFonts w:hAnsi="宋体"/>
                <w:color w:val="auto"/>
                <w:sz w:val="21"/>
                <w:szCs w:val="21"/>
                <w:highlight w:val="none"/>
              </w:rPr>
              <w:t>2</w:t>
            </w:r>
          </w:p>
        </w:tc>
      </w:tr>
      <w:tr w14:paraId="076DA6FA">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2EA34BC">
            <w:pPr>
              <w:widowControl/>
              <w:jc w:val="center"/>
              <w:rPr>
                <w:rFonts w:hAnsi="宋体"/>
                <w:color w:val="auto"/>
                <w:sz w:val="21"/>
                <w:szCs w:val="21"/>
                <w:highlight w:val="none"/>
              </w:rPr>
            </w:pPr>
            <w:r>
              <w:rPr>
                <w:rFonts w:hAnsi="宋体"/>
                <w:color w:val="auto"/>
                <w:sz w:val="21"/>
                <w:szCs w:val="21"/>
                <w:highlight w:val="none"/>
              </w:rPr>
              <w:t>36</w:t>
            </w:r>
          </w:p>
        </w:tc>
        <w:tc>
          <w:tcPr>
            <w:tcW w:w="958" w:type="dxa"/>
            <w:tcBorders>
              <w:top w:val="nil"/>
              <w:left w:val="nil"/>
              <w:bottom w:val="single" w:color="auto" w:sz="4" w:space="0"/>
              <w:right w:val="single" w:color="auto" w:sz="4" w:space="0"/>
            </w:tcBorders>
            <w:vAlign w:val="center"/>
          </w:tcPr>
          <w:p w14:paraId="553F4DE6">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195E26F5">
            <w:pPr>
              <w:widowControl/>
              <w:jc w:val="center"/>
              <w:rPr>
                <w:rFonts w:hAnsi="宋体"/>
                <w:color w:val="auto"/>
                <w:sz w:val="21"/>
                <w:szCs w:val="21"/>
                <w:highlight w:val="none"/>
              </w:rPr>
            </w:pPr>
            <w:r>
              <w:rPr>
                <w:rFonts w:hAnsi="宋体"/>
                <w:color w:val="auto"/>
                <w:sz w:val="21"/>
                <w:szCs w:val="21"/>
                <w:highlight w:val="none"/>
              </w:rPr>
              <w:t>动力站</w:t>
            </w:r>
          </w:p>
        </w:tc>
        <w:tc>
          <w:tcPr>
            <w:tcW w:w="1347" w:type="dxa"/>
            <w:tcBorders>
              <w:top w:val="nil"/>
              <w:left w:val="nil"/>
              <w:bottom w:val="single" w:color="auto" w:sz="4" w:space="0"/>
              <w:right w:val="single" w:color="auto" w:sz="4" w:space="0"/>
            </w:tcBorders>
            <w:vAlign w:val="center"/>
          </w:tcPr>
          <w:p w14:paraId="26FEF54C">
            <w:pPr>
              <w:widowControl/>
              <w:jc w:val="center"/>
              <w:rPr>
                <w:rFonts w:hAnsi="宋体"/>
                <w:color w:val="auto"/>
                <w:sz w:val="21"/>
                <w:szCs w:val="21"/>
                <w:highlight w:val="none"/>
              </w:rPr>
            </w:pPr>
            <w:r>
              <w:rPr>
                <w:rFonts w:hAnsi="宋体"/>
                <w:color w:val="auto"/>
                <w:sz w:val="21"/>
                <w:szCs w:val="21"/>
                <w:highlight w:val="none"/>
              </w:rPr>
              <w:t>太仓应急(029)</w:t>
            </w:r>
          </w:p>
        </w:tc>
        <w:tc>
          <w:tcPr>
            <w:tcW w:w="1239" w:type="dxa"/>
            <w:tcBorders>
              <w:top w:val="nil"/>
              <w:left w:val="nil"/>
              <w:bottom w:val="single" w:color="auto" w:sz="4" w:space="0"/>
              <w:right w:val="single" w:color="auto" w:sz="4" w:space="0"/>
            </w:tcBorders>
            <w:vAlign w:val="center"/>
          </w:tcPr>
          <w:p w14:paraId="2C71D078">
            <w:pPr>
              <w:widowControl/>
              <w:jc w:val="center"/>
              <w:rPr>
                <w:rFonts w:hAnsi="宋体"/>
                <w:color w:val="auto"/>
                <w:sz w:val="21"/>
                <w:szCs w:val="21"/>
                <w:highlight w:val="none"/>
              </w:rPr>
            </w:pPr>
            <w:r>
              <w:rPr>
                <w:rFonts w:hAnsi="宋体"/>
                <w:color w:val="auto"/>
                <w:sz w:val="21"/>
                <w:szCs w:val="21"/>
                <w:highlight w:val="none"/>
              </w:rPr>
              <w:t>10KW155bar</w:t>
            </w:r>
          </w:p>
        </w:tc>
        <w:tc>
          <w:tcPr>
            <w:tcW w:w="532" w:type="dxa"/>
            <w:tcBorders>
              <w:top w:val="nil"/>
              <w:left w:val="nil"/>
              <w:bottom w:val="single" w:color="auto" w:sz="4" w:space="0"/>
              <w:right w:val="single" w:color="auto" w:sz="4" w:space="0"/>
            </w:tcBorders>
            <w:vAlign w:val="center"/>
          </w:tcPr>
          <w:p w14:paraId="00F2C08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C435C70">
            <w:pPr>
              <w:widowControl/>
              <w:jc w:val="center"/>
              <w:rPr>
                <w:rFonts w:hAnsi="宋体"/>
                <w:color w:val="auto"/>
                <w:sz w:val="21"/>
                <w:szCs w:val="21"/>
                <w:highlight w:val="none"/>
              </w:rPr>
            </w:pPr>
            <w:r>
              <w:rPr>
                <w:rFonts w:hAnsi="宋体"/>
                <w:color w:val="auto"/>
                <w:sz w:val="21"/>
                <w:szCs w:val="21"/>
                <w:highlight w:val="none"/>
              </w:rPr>
              <w:t>SH1525E</w:t>
            </w:r>
          </w:p>
        </w:tc>
        <w:tc>
          <w:tcPr>
            <w:tcW w:w="1143" w:type="dxa"/>
            <w:tcBorders>
              <w:top w:val="nil"/>
              <w:left w:val="nil"/>
              <w:bottom w:val="single" w:color="auto" w:sz="4" w:space="0"/>
              <w:right w:val="single" w:color="auto" w:sz="4" w:space="0"/>
            </w:tcBorders>
            <w:vAlign w:val="center"/>
          </w:tcPr>
          <w:p w14:paraId="1C18CDEC">
            <w:pPr>
              <w:widowControl/>
              <w:jc w:val="center"/>
              <w:rPr>
                <w:rFonts w:hAnsi="宋体"/>
                <w:color w:val="auto"/>
                <w:sz w:val="21"/>
                <w:szCs w:val="21"/>
                <w:highlight w:val="none"/>
              </w:rPr>
            </w:pPr>
            <w:r>
              <w:rPr>
                <w:rFonts w:hAnsi="宋体"/>
                <w:color w:val="auto"/>
                <w:sz w:val="21"/>
                <w:szCs w:val="21"/>
                <w:highlight w:val="none"/>
              </w:rPr>
              <w:t>石川</w:t>
            </w:r>
          </w:p>
        </w:tc>
        <w:tc>
          <w:tcPr>
            <w:tcW w:w="1424" w:type="dxa"/>
            <w:tcBorders>
              <w:top w:val="nil"/>
              <w:left w:val="nil"/>
              <w:bottom w:val="single" w:color="auto" w:sz="4" w:space="0"/>
              <w:right w:val="single" w:color="auto" w:sz="4" w:space="0"/>
            </w:tcBorders>
            <w:noWrap/>
            <w:vAlign w:val="center"/>
          </w:tcPr>
          <w:p w14:paraId="7423B8E5">
            <w:pPr>
              <w:widowControl/>
              <w:jc w:val="center"/>
              <w:rPr>
                <w:rFonts w:hAnsi="宋体"/>
                <w:color w:val="auto"/>
                <w:sz w:val="21"/>
                <w:szCs w:val="21"/>
                <w:highlight w:val="none"/>
              </w:rPr>
            </w:pPr>
            <w:r>
              <w:rPr>
                <w:rFonts w:hAnsi="宋体"/>
                <w:color w:val="auto"/>
                <w:sz w:val="21"/>
                <w:szCs w:val="21"/>
                <w:highlight w:val="none"/>
              </w:rPr>
              <w:t>2015年1月</w:t>
            </w:r>
          </w:p>
        </w:tc>
        <w:tc>
          <w:tcPr>
            <w:tcW w:w="812" w:type="dxa"/>
            <w:tcBorders>
              <w:top w:val="nil"/>
              <w:left w:val="nil"/>
              <w:bottom w:val="single" w:color="auto" w:sz="4" w:space="0"/>
              <w:right w:val="single" w:color="auto" w:sz="4" w:space="0"/>
            </w:tcBorders>
            <w:vAlign w:val="center"/>
          </w:tcPr>
          <w:p w14:paraId="1878313D">
            <w:pPr>
              <w:widowControl/>
              <w:jc w:val="center"/>
              <w:rPr>
                <w:rFonts w:hAnsi="宋体"/>
                <w:color w:val="auto"/>
                <w:sz w:val="21"/>
                <w:szCs w:val="21"/>
                <w:highlight w:val="none"/>
              </w:rPr>
            </w:pPr>
            <w:r>
              <w:rPr>
                <w:rFonts w:hAnsi="宋体"/>
                <w:color w:val="auto"/>
                <w:sz w:val="21"/>
                <w:szCs w:val="21"/>
                <w:highlight w:val="none"/>
              </w:rPr>
              <w:t>2</w:t>
            </w:r>
          </w:p>
        </w:tc>
      </w:tr>
      <w:tr w14:paraId="10A53A98">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EE91F7C">
            <w:pPr>
              <w:widowControl/>
              <w:jc w:val="center"/>
              <w:rPr>
                <w:rFonts w:hAnsi="宋体"/>
                <w:color w:val="auto"/>
                <w:sz w:val="21"/>
                <w:szCs w:val="21"/>
                <w:highlight w:val="none"/>
              </w:rPr>
            </w:pPr>
            <w:r>
              <w:rPr>
                <w:rFonts w:hAnsi="宋体"/>
                <w:color w:val="auto"/>
                <w:sz w:val="21"/>
                <w:szCs w:val="21"/>
                <w:highlight w:val="none"/>
              </w:rPr>
              <w:t>37</w:t>
            </w:r>
          </w:p>
        </w:tc>
        <w:tc>
          <w:tcPr>
            <w:tcW w:w="958" w:type="dxa"/>
            <w:tcBorders>
              <w:top w:val="nil"/>
              <w:left w:val="nil"/>
              <w:bottom w:val="single" w:color="auto" w:sz="4" w:space="0"/>
              <w:right w:val="single" w:color="auto" w:sz="4" w:space="0"/>
            </w:tcBorders>
            <w:vAlign w:val="center"/>
          </w:tcPr>
          <w:p w14:paraId="6E643B1E">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00014B67">
            <w:pPr>
              <w:widowControl/>
              <w:jc w:val="center"/>
              <w:rPr>
                <w:rFonts w:hAnsi="宋体"/>
                <w:color w:val="auto"/>
                <w:sz w:val="21"/>
                <w:szCs w:val="21"/>
                <w:highlight w:val="none"/>
              </w:rPr>
            </w:pPr>
            <w:r>
              <w:rPr>
                <w:rFonts w:hAnsi="宋体"/>
                <w:color w:val="auto"/>
                <w:sz w:val="21"/>
                <w:szCs w:val="21"/>
                <w:highlight w:val="none"/>
              </w:rPr>
              <w:t>新能源清扫车</w:t>
            </w:r>
          </w:p>
        </w:tc>
        <w:tc>
          <w:tcPr>
            <w:tcW w:w="1347" w:type="dxa"/>
            <w:tcBorders>
              <w:top w:val="nil"/>
              <w:left w:val="nil"/>
              <w:bottom w:val="single" w:color="auto" w:sz="4" w:space="0"/>
              <w:right w:val="single" w:color="auto" w:sz="4" w:space="0"/>
            </w:tcBorders>
            <w:vAlign w:val="center"/>
          </w:tcPr>
          <w:p w14:paraId="726804BF">
            <w:pPr>
              <w:widowControl/>
              <w:jc w:val="center"/>
              <w:rPr>
                <w:rFonts w:hAnsi="宋体"/>
                <w:color w:val="auto"/>
                <w:sz w:val="21"/>
                <w:szCs w:val="21"/>
                <w:highlight w:val="none"/>
              </w:rPr>
            </w:pPr>
            <w:r>
              <w:rPr>
                <w:rFonts w:hAnsi="宋体"/>
                <w:color w:val="auto"/>
                <w:sz w:val="21"/>
                <w:szCs w:val="21"/>
                <w:highlight w:val="none"/>
              </w:rPr>
              <w:t>太仓应急(030)\7</w:t>
            </w:r>
          </w:p>
        </w:tc>
        <w:tc>
          <w:tcPr>
            <w:tcW w:w="1239" w:type="dxa"/>
            <w:tcBorders>
              <w:top w:val="nil"/>
              <w:left w:val="nil"/>
              <w:bottom w:val="single" w:color="auto" w:sz="4" w:space="0"/>
              <w:right w:val="single" w:color="auto" w:sz="4" w:space="0"/>
            </w:tcBorders>
            <w:vAlign w:val="center"/>
          </w:tcPr>
          <w:p w14:paraId="57339FCA">
            <w:pPr>
              <w:widowControl/>
              <w:jc w:val="center"/>
              <w:rPr>
                <w:rFonts w:hAnsi="宋体"/>
                <w:color w:val="auto"/>
                <w:sz w:val="21"/>
                <w:szCs w:val="21"/>
                <w:highlight w:val="none"/>
              </w:rPr>
            </w:pPr>
            <w:r>
              <w:rPr>
                <w:rFonts w:hAnsi="宋体"/>
                <w:color w:val="auto"/>
                <w:sz w:val="21"/>
                <w:szCs w:val="21"/>
                <w:highlight w:val="none"/>
              </w:rPr>
              <w:t>清扫宽度＝2m</w:t>
            </w:r>
          </w:p>
        </w:tc>
        <w:tc>
          <w:tcPr>
            <w:tcW w:w="532" w:type="dxa"/>
            <w:tcBorders>
              <w:top w:val="nil"/>
              <w:left w:val="nil"/>
              <w:bottom w:val="single" w:color="auto" w:sz="4" w:space="0"/>
              <w:right w:val="single" w:color="auto" w:sz="4" w:space="0"/>
            </w:tcBorders>
            <w:vAlign w:val="center"/>
          </w:tcPr>
          <w:p w14:paraId="62375735">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88CF0FE">
            <w:pPr>
              <w:widowControl/>
              <w:jc w:val="center"/>
              <w:rPr>
                <w:rFonts w:hAnsi="宋体"/>
                <w:color w:val="auto"/>
                <w:sz w:val="21"/>
                <w:szCs w:val="21"/>
                <w:highlight w:val="none"/>
              </w:rPr>
            </w:pPr>
            <w:r>
              <w:rPr>
                <w:rFonts w:hAnsi="宋体"/>
                <w:color w:val="auto"/>
                <w:sz w:val="21"/>
                <w:szCs w:val="21"/>
                <w:highlight w:val="none"/>
              </w:rPr>
              <w:t>S1820E</w:t>
            </w:r>
          </w:p>
        </w:tc>
        <w:tc>
          <w:tcPr>
            <w:tcW w:w="1143" w:type="dxa"/>
            <w:tcBorders>
              <w:top w:val="nil"/>
              <w:left w:val="nil"/>
              <w:bottom w:val="single" w:color="auto" w:sz="4" w:space="0"/>
              <w:right w:val="single" w:color="auto" w:sz="4" w:space="0"/>
            </w:tcBorders>
            <w:vAlign w:val="center"/>
          </w:tcPr>
          <w:p w14:paraId="7BA1BB7A">
            <w:pPr>
              <w:widowControl/>
              <w:jc w:val="center"/>
              <w:rPr>
                <w:rFonts w:hAnsi="宋体"/>
                <w:color w:val="auto"/>
                <w:sz w:val="21"/>
                <w:szCs w:val="21"/>
                <w:highlight w:val="none"/>
              </w:rPr>
            </w:pPr>
            <w:r>
              <w:rPr>
                <w:rFonts w:hAnsi="宋体"/>
                <w:color w:val="auto"/>
                <w:sz w:val="21"/>
                <w:szCs w:val="21"/>
                <w:highlight w:val="none"/>
              </w:rPr>
              <w:t>湖南中联</w:t>
            </w:r>
          </w:p>
        </w:tc>
        <w:tc>
          <w:tcPr>
            <w:tcW w:w="1424" w:type="dxa"/>
            <w:tcBorders>
              <w:top w:val="nil"/>
              <w:left w:val="nil"/>
              <w:bottom w:val="single" w:color="auto" w:sz="4" w:space="0"/>
              <w:right w:val="single" w:color="auto" w:sz="4" w:space="0"/>
            </w:tcBorders>
            <w:noWrap/>
            <w:vAlign w:val="center"/>
          </w:tcPr>
          <w:p w14:paraId="3B596422">
            <w:pPr>
              <w:widowControl/>
              <w:jc w:val="center"/>
              <w:rPr>
                <w:rFonts w:hAnsi="宋体"/>
                <w:color w:val="auto"/>
                <w:sz w:val="21"/>
                <w:szCs w:val="21"/>
                <w:highlight w:val="none"/>
              </w:rPr>
            </w:pPr>
            <w:r>
              <w:rPr>
                <w:rFonts w:hAnsi="宋体"/>
                <w:color w:val="auto"/>
                <w:sz w:val="21"/>
                <w:szCs w:val="21"/>
                <w:highlight w:val="none"/>
              </w:rPr>
              <w:t>2022年12月</w:t>
            </w:r>
          </w:p>
        </w:tc>
        <w:tc>
          <w:tcPr>
            <w:tcW w:w="812" w:type="dxa"/>
            <w:tcBorders>
              <w:top w:val="nil"/>
              <w:left w:val="nil"/>
              <w:bottom w:val="single" w:color="auto" w:sz="4" w:space="0"/>
              <w:right w:val="single" w:color="auto" w:sz="4" w:space="0"/>
            </w:tcBorders>
            <w:vAlign w:val="center"/>
          </w:tcPr>
          <w:p w14:paraId="5A04BB95">
            <w:pPr>
              <w:widowControl/>
              <w:jc w:val="center"/>
              <w:rPr>
                <w:rFonts w:hAnsi="宋体"/>
                <w:color w:val="auto"/>
                <w:sz w:val="21"/>
                <w:szCs w:val="21"/>
                <w:highlight w:val="none"/>
              </w:rPr>
            </w:pPr>
            <w:r>
              <w:rPr>
                <w:rFonts w:hAnsi="宋体"/>
                <w:color w:val="auto"/>
                <w:sz w:val="21"/>
                <w:szCs w:val="21"/>
                <w:highlight w:val="none"/>
              </w:rPr>
              <w:t>2</w:t>
            </w:r>
          </w:p>
        </w:tc>
      </w:tr>
      <w:tr w14:paraId="0FF089A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E641761">
            <w:pPr>
              <w:widowControl/>
              <w:jc w:val="center"/>
              <w:rPr>
                <w:rFonts w:hAnsi="宋体"/>
                <w:color w:val="auto"/>
                <w:sz w:val="21"/>
                <w:szCs w:val="21"/>
                <w:highlight w:val="none"/>
              </w:rPr>
            </w:pPr>
            <w:r>
              <w:rPr>
                <w:rFonts w:hAnsi="宋体"/>
                <w:color w:val="auto"/>
                <w:sz w:val="21"/>
                <w:szCs w:val="21"/>
                <w:highlight w:val="none"/>
              </w:rPr>
              <w:t>38</w:t>
            </w:r>
          </w:p>
        </w:tc>
        <w:tc>
          <w:tcPr>
            <w:tcW w:w="958" w:type="dxa"/>
            <w:tcBorders>
              <w:top w:val="nil"/>
              <w:left w:val="nil"/>
              <w:bottom w:val="single" w:color="auto" w:sz="4" w:space="0"/>
              <w:right w:val="single" w:color="auto" w:sz="4" w:space="0"/>
            </w:tcBorders>
            <w:vAlign w:val="center"/>
          </w:tcPr>
          <w:p w14:paraId="44C4502C">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5252DCAF">
            <w:pPr>
              <w:widowControl/>
              <w:jc w:val="center"/>
              <w:rPr>
                <w:rFonts w:hAnsi="宋体"/>
                <w:color w:val="auto"/>
                <w:sz w:val="21"/>
                <w:szCs w:val="21"/>
                <w:highlight w:val="none"/>
              </w:rPr>
            </w:pPr>
            <w:r>
              <w:rPr>
                <w:rFonts w:hAnsi="宋体"/>
                <w:color w:val="auto"/>
                <w:sz w:val="21"/>
                <w:szCs w:val="21"/>
                <w:highlight w:val="none"/>
              </w:rPr>
              <w:t>交直流两用电焊机</w:t>
            </w:r>
          </w:p>
        </w:tc>
        <w:tc>
          <w:tcPr>
            <w:tcW w:w="1347" w:type="dxa"/>
            <w:tcBorders>
              <w:top w:val="nil"/>
              <w:left w:val="nil"/>
              <w:bottom w:val="single" w:color="auto" w:sz="4" w:space="0"/>
              <w:right w:val="single" w:color="auto" w:sz="4" w:space="0"/>
            </w:tcBorders>
            <w:vAlign w:val="center"/>
          </w:tcPr>
          <w:p w14:paraId="3E7F8D60">
            <w:pPr>
              <w:widowControl/>
              <w:jc w:val="center"/>
              <w:rPr>
                <w:rFonts w:hAnsi="宋体"/>
                <w:color w:val="auto"/>
                <w:sz w:val="21"/>
                <w:szCs w:val="21"/>
                <w:highlight w:val="none"/>
              </w:rPr>
            </w:pPr>
            <w:r>
              <w:rPr>
                <w:rFonts w:hAnsi="宋体"/>
                <w:color w:val="auto"/>
                <w:sz w:val="21"/>
                <w:szCs w:val="21"/>
                <w:highlight w:val="none"/>
              </w:rPr>
              <w:t>太仓应急(031)</w:t>
            </w:r>
          </w:p>
        </w:tc>
        <w:tc>
          <w:tcPr>
            <w:tcW w:w="1239" w:type="dxa"/>
            <w:tcBorders>
              <w:top w:val="nil"/>
              <w:left w:val="nil"/>
              <w:bottom w:val="single" w:color="auto" w:sz="4" w:space="0"/>
              <w:right w:val="single" w:color="auto" w:sz="4" w:space="0"/>
            </w:tcBorders>
            <w:vAlign w:val="center"/>
          </w:tcPr>
          <w:p w14:paraId="03BCC978">
            <w:pPr>
              <w:widowControl/>
              <w:jc w:val="center"/>
              <w:rPr>
                <w:rFonts w:hAnsi="宋体"/>
                <w:color w:val="auto"/>
                <w:sz w:val="21"/>
                <w:szCs w:val="21"/>
                <w:highlight w:val="none"/>
              </w:rPr>
            </w:pPr>
            <w:r>
              <w:rPr>
                <w:rFonts w:hAnsi="宋体"/>
                <w:color w:val="auto"/>
                <w:sz w:val="21"/>
                <w:szCs w:val="21"/>
                <w:highlight w:val="none"/>
              </w:rPr>
              <w:t>电流电压指标80A66V~500A78V</w:t>
            </w:r>
          </w:p>
        </w:tc>
        <w:tc>
          <w:tcPr>
            <w:tcW w:w="532" w:type="dxa"/>
            <w:tcBorders>
              <w:top w:val="nil"/>
              <w:left w:val="nil"/>
              <w:bottom w:val="single" w:color="auto" w:sz="4" w:space="0"/>
              <w:right w:val="single" w:color="auto" w:sz="4" w:space="0"/>
            </w:tcBorders>
            <w:vAlign w:val="center"/>
          </w:tcPr>
          <w:p w14:paraId="78CEED87">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1C9C4FF">
            <w:pPr>
              <w:widowControl/>
              <w:jc w:val="center"/>
              <w:rPr>
                <w:rFonts w:hAnsi="宋体"/>
                <w:color w:val="auto"/>
                <w:sz w:val="21"/>
                <w:szCs w:val="21"/>
                <w:highlight w:val="none"/>
              </w:rPr>
            </w:pPr>
            <w:r>
              <w:rPr>
                <w:rFonts w:hAnsi="宋体"/>
                <w:color w:val="auto"/>
                <w:sz w:val="21"/>
                <w:szCs w:val="21"/>
                <w:highlight w:val="none"/>
              </w:rPr>
              <w:t>ZXE1-500</w:t>
            </w:r>
          </w:p>
        </w:tc>
        <w:tc>
          <w:tcPr>
            <w:tcW w:w="1143" w:type="dxa"/>
            <w:tcBorders>
              <w:top w:val="nil"/>
              <w:left w:val="nil"/>
              <w:bottom w:val="single" w:color="auto" w:sz="4" w:space="0"/>
              <w:right w:val="single" w:color="auto" w:sz="4" w:space="0"/>
            </w:tcBorders>
            <w:vAlign w:val="center"/>
          </w:tcPr>
          <w:p w14:paraId="041C54F0">
            <w:pPr>
              <w:widowControl/>
              <w:jc w:val="center"/>
              <w:rPr>
                <w:rFonts w:hAnsi="宋体"/>
                <w:color w:val="auto"/>
                <w:sz w:val="21"/>
                <w:szCs w:val="21"/>
                <w:highlight w:val="none"/>
              </w:rPr>
            </w:pPr>
            <w:r>
              <w:rPr>
                <w:rFonts w:hAnsi="宋体"/>
                <w:color w:val="auto"/>
                <w:sz w:val="21"/>
                <w:szCs w:val="21"/>
                <w:highlight w:val="none"/>
              </w:rPr>
              <w:t>上海通用</w:t>
            </w:r>
          </w:p>
        </w:tc>
        <w:tc>
          <w:tcPr>
            <w:tcW w:w="1424" w:type="dxa"/>
            <w:tcBorders>
              <w:top w:val="nil"/>
              <w:left w:val="nil"/>
              <w:bottom w:val="single" w:color="auto" w:sz="4" w:space="0"/>
              <w:right w:val="single" w:color="auto" w:sz="4" w:space="0"/>
            </w:tcBorders>
            <w:noWrap/>
            <w:vAlign w:val="center"/>
          </w:tcPr>
          <w:p w14:paraId="483F5D0B">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719BF42B">
            <w:pPr>
              <w:widowControl/>
              <w:jc w:val="center"/>
              <w:rPr>
                <w:rFonts w:hAnsi="宋体"/>
                <w:color w:val="auto"/>
                <w:sz w:val="21"/>
                <w:szCs w:val="21"/>
                <w:highlight w:val="none"/>
              </w:rPr>
            </w:pPr>
            <w:r>
              <w:rPr>
                <w:rFonts w:hAnsi="宋体"/>
                <w:color w:val="auto"/>
                <w:sz w:val="21"/>
                <w:szCs w:val="21"/>
                <w:highlight w:val="none"/>
              </w:rPr>
              <w:t>2</w:t>
            </w:r>
          </w:p>
        </w:tc>
      </w:tr>
      <w:tr w14:paraId="2FB95504">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4CFB951">
            <w:pPr>
              <w:widowControl/>
              <w:jc w:val="center"/>
              <w:rPr>
                <w:rFonts w:hAnsi="宋体"/>
                <w:color w:val="auto"/>
                <w:sz w:val="21"/>
                <w:szCs w:val="21"/>
                <w:highlight w:val="none"/>
              </w:rPr>
            </w:pPr>
            <w:r>
              <w:rPr>
                <w:rFonts w:hAnsi="宋体"/>
                <w:color w:val="auto"/>
                <w:sz w:val="21"/>
                <w:szCs w:val="21"/>
                <w:highlight w:val="none"/>
              </w:rPr>
              <w:t>39</w:t>
            </w:r>
          </w:p>
        </w:tc>
        <w:tc>
          <w:tcPr>
            <w:tcW w:w="958" w:type="dxa"/>
            <w:tcBorders>
              <w:top w:val="nil"/>
              <w:left w:val="nil"/>
              <w:bottom w:val="single" w:color="auto" w:sz="4" w:space="0"/>
              <w:right w:val="single" w:color="auto" w:sz="4" w:space="0"/>
            </w:tcBorders>
            <w:vAlign w:val="center"/>
          </w:tcPr>
          <w:p w14:paraId="1BC7F47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6FE07BE6">
            <w:pPr>
              <w:widowControl/>
              <w:jc w:val="center"/>
              <w:rPr>
                <w:rFonts w:hAnsi="宋体"/>
                <w:color w:val="auto"/>
                <w:sz w:val="21"/>
                <w:szCs w:val="21"/>
                <w:highlight w:val="none"/>
              </w:rPr>
            </w:pPr>
            <w:r>
              <w:rPr>
                <w:rFonts w:hAnsi="宋体"/>
                <w:color w:val="auto"/>
                <w:sz w:val="21"/>
                <w:szCs w:val="21"/>
                <w:highlight w:val="none"/>
              </w:rPr>
              <w:t>油锯</w:t>
            </w:r>
          </w:p>
        </w:tc>
        <w:tc>
          <w:tcPr>
            <w:tcW w:w="1347" w:type="dxa"/>
            <w:tcBorders>
              <w:top w:val="nil"/>
              <w:left w:val="nil"/>
              <w:bottom w:val="single" w:color="auto" w:sz="4" w:space="0"/>
              <w:right w:val="single" w:color="auto" w:sz="4" w:space="0"/>
            </w:tcBorders>
            <w:vAlign w:val="center"/>
          </w:tcPr>
          <w:p w14:paraId="7EF84470">
            <w:pPr>
              <w:widowControl/>
              <w:jc w:val="center"/>
              <w:rPr>
                <w:rFonts w:hAnsi="宋体"/>
                <w:color w:val="auto"/>
                <w:sz w:val="21"/>
                <w:szCs w:val="21"/>
                <w:highlight w:val="none"/>
              </w:rPr>
            </w:pPr>
            <w:r>
              <w:rPr>
                <w:rFonts w:hAnsi="宋体"/>
                <w:color w:val="auto"/>
                <w:sz w:val="21"/>
                <w:szCs w:val="21"/>
                <w:highlight w:val="none"/>
              </w:rPr>
              <w:t>太仓应急(032)</w:t>
            </w:r>
          </w:p>
        </w:tc>
        <w:tc>
          <w:tcPr>
            <w:tcW w:w="1239" w:type="dxa"/>
            <w:tcBorders>
              <w:top w:val="nil"/>
              <w:left w:val="nil"/>
              <w:bottom w:val="single" w:color="auto" w:sz="4" w:space="0"/>
              <w:right w:val="single" w:color="auto" w:sz="4" w:space="0"/>
            </w:tcBorders>
            <w:vAlign w:val="center"/>
          </w:tcPr>
          <w:p w14:paraId="7643E3BC">
            <w:pPr>
              <w:widowControl/>
              <w:jc w:val="center"/>
              <w:rPr>
                <w:rFonts w:hAnsi="宋体"/>
                <w:color w:val="auto"/>
                <w:sz w:val="21"/>
                <w:szCs w:val="21"/>
                <w:highlight w:val="none"/>
              </w:rPr>
            </w:pPr>
            <w:r>
              <w:rPr>
                <w:rFonts w:hAnsi="宋体"/>
                <w:color w:val="auto"/>
                <w:sz w:val="21"/>
                <w:szCs w:val="21"/>
                <w:highlight w:val="none"/>
              </w:rPr>
              <w:t>功率3.9KW</w:t>
            </w:r>
          </w:p>
        </w:tc>
        <w:tc>
          <w:tcPr>
            <w:tcW w:w="532" w:type="dxa"/>
            <w:tcBorders>
              <w:top w:val="nil"/>
              <w:left w:val="nil"/>
              <w:bottom w:val="single" w:color="auto" w:sz="4" w:space="0"/>
              <w:right w:val="single" w:color="auto" w:sz="4" w:space="0"/>
            </w:tcBorders>
            <w:vAlign w:val="center"/>
          </w:tcPr>
          <w:p w14:paraId="7ED0E8EA">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2B0E330">
            <w:pPr>
              <w:widowControl/>
              <w:jc w:val="center"/>
              <w:rPr>
                <w:rFonts w:hAnsi="宋体"/>
                <w:color w:val="auto"/>
                <w:sz w:val="21"/>
                <w:szCs w:val="21"/>
                <w:highlight w:val="none"/>
              </w:rPr>
            </w:pPr>
            <w:r>
              <w:rPr>
                <w:rFonts w:hAnsi="宋体"/>
                <w:color w:val="auto"/>
                <w:sz w:val="21"/>
                <w:szCs w:val="21"/>
                <w:highlight w:val="none"/>
              </w:rPr>
              <w:t>MS381</w:t>
            </w:r>
          </w:p>
        </w:tc>
        <w:tc>
          <w:tcPr>
            <w:tcW w:w="1143" w:type="dxa"/>
            <w:tcBorders>
              <w:top w:val="nil"/>
              <w:left w:val="nil"/>
              <w:bottom w:val="single" w:color="auto" w:sz="4" w:space="0"/>
              <w:right w:val="single" w:color="auto" w:sz="4" w:space="0"/>
            </w:tcBorders>
            <w:vAlign w:val="center"/>
          </w:tcPr>
          <w:p w14:paraId="4AC83467">
            <w:pPr>
              <w:widowControl/>
              <w:jc w:val="center"/>
              <w:rPr>
                <w:rFonts w:hAnsi="宋体"/>
                <w:color w:val="auto"/>
                <w:sz w:val="21"/>
                <w:szCs w:val="21"/>
                <w:highlight w:val="none"/>
              </w:rPr>
            </w:pPr>
            <w:r>
              <w:rPr>
                <w:rFonts w:hAnsi="宋体"/>
                <w:color w:val="auto"/>
                <w:sz w:val="21"/>
                <w:szCs w:val="21"/>
                <w:highlight w:val="none"/>
              </w:rPr>
              <w:t>斯蒂尔</w:t>
            </w:r>
          </w:p>
        </w:tc>
        <w:tc>
          <w:tcPr>
            <w:tcW w:w="1424" w:type="dxa"/>
            <w:tcBorders>
              <w:top w:val="nil"/>
              <w:left w:val="nil"/>
              <w:bottom w:val="single" w:color="auto" w:sz="4" w:space="0"/>
              <w:right w:val="single" w:color="auto" w:sz="4" w:space="0"/>
            </w:tcBorders>
            <w:noWrap/>
            <w:vAlign w:val="center"/>
          </w:tcPr>
          <w:p w14:paraId="5B7D663B">
            <w:pPr>
              <w:widowControl/>
              <w:jc w:val="center"/>
              <w:rPr>
                <w:rFonts w:hAnsi="宋体"/>
                <w:color w:val="auto"/>
                <w:sz w:val="21"/>
                <w:szCs w:val="21"/>
                <w:highlight w:val="none"/>
              </w:rPr>
            </w:pPr>
            <w:r>
              <w:rPr>
                <w:rFonts w:hAnsi="宋体"/>
                <w:color w:val="auto"/>
                <w:sz w:val="21"/>
                <w:szCs w:val="21"/>
                <w:highlight w:val="none"/>
              </w:rPr>
              <w:t>2014年8月</w:t>
            </w:r>
          </w:p>
        </w:tc>
        <w:tc>
          <w:tcPr>
            <w:tcW w:w="812" w:type="dxa"/>
            <w:tcBorders>
              <w:top w:val="nil"/>
              <w:left w:val="nil"/>
              <w:bottom w:val="single" w:color="auto" w:sz="4" w:space="0"/>
              <w:right w:val="single" w:color="auto" w:sz="4" w:space="0"/>
            </w:tcBorders>
            <w:vAlign w:val="center"/>
          </w:tcPr>
          <w:p w14:paraId="19169AE2">
            <w:pPr>
              <w:widowControl/>
              <w:jc w:val="center"/>
              <w:rPr>
                <w:rFonts w:hAnsi="宋体"/>
                <w:color w:val="auto"/>
                <w:sz w:val="21"/>
                <w:szCs w:val="21"/>
                <w:highlight w:val="none"/>
              </w:rPr>
            </w:pPr>
            <w:r>
              <w:rPr>
                <w:rFonts w:hAnsi="宋体"/>
                <w:color w:val="auto"/>
                <w:sz w:val="21"/>
                <w:szCs w:val="21"/>
                <w:highlight w:val="none"/>
              </w:rPr>
              <w:t>2</w:t>
            </w:r>
          </w:p>
        </w:tc>
      </w:tr>
      <w:tr w14:paraId="543D158A">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3A46FB8">
            <w:pPr>
              <w:widowControl/>
              <w:jc w:val="center"/>
              <w:rPr>
                <w:rFonts w:hAnsi="宋体"/>
                <w:color w:val="auto"/>
                <w:sz w:val="21"/>
                <w:szCs w:val="21"/>
                <w:highlight w:val="none"/>
              </w:rPr>
            </w:pPr>
            <w:r>
              <w:rPr>
                <w:rFonts w:hAnsi="宋体"/>
                <w:color w:val="auto"/>
                <w:sz w:val="21"/>
                <w:szCs w:val="21"/>
                <w:highlight w:val="none"/>
              </w:rPr>
              <w:t>40</w:t>
            </w:r>
          </w:p>
        </w:tc>
        <w:tc>
          <w:tcPr>
            <w:tcW w:w="958" w:type="dxa"/>
            <w:tcBorders>
              <w:top w:val="nil"/>
              <w:left w:val="nil"/>
              <w:bottom w:val="single" w:color="auto" w:sz="4" w:space="0"/>
              <w:right w:val="single" w:color="auto" w:sz="4" w:space="0"/>
            </w:tcBorders>
            <w:vAlign w:val="center"/>
          </w:tcPr>
          <w:p w14:paraId="38BCC105">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66D5DFF0">
            <w:pPr>
              <w:widowControl/>
              <w:jc w:val="center"/>
              <w:rPr>
                <w:rFonts w:hAnsi="宋体"/>
                <w:color w:val="auto"/>
                <w:sz w:val="21"/>
                <w:szCs w:val="21"/>
                <w:highlight w:val="none"/>
              </w:rPr>
            </w:pPr>
            <w:r>
              <w:rPr>
                <w:rFonts w:hAnsi="宋体"/>
                <w:color w:val="auto"/>
                <w:sz w:val="21"/>
                <w:szCs w:val="21"/>
                <w:highlight w:val="none"/>
              </w:rPr>
              <w:t>油锯</w:t>
            </w:r>
          </w:p>
        </w:tc>
        <w:tc>
          <w:tcPr>
            <w:tcW w:w="1347" w:type="dxa"/>
            <w:tcBorders>
              <w:top w:val="nil"/>
              <w:left w:val="nil"/>
              <w:bottom w:val="single" w:color="auto" w:sz="4" w:space="0"/>
              <w:right w:val="single" w:color="auto" w:sz="4" w:space="0"/>
            </w:tcBorders>
            <w:vAlign w:val="center"/>
          </w:tcPr>
          <w:p w14:paraId="17B7ABE5">
            <w:pPr>
              <w:widowControl/>
              <w:jc w:val="center"/>
              <w:rPr>
                <w:rFonts w:hAnsi="宋体"/>
                <w:color w:val="auto"/>
                <w:sz w:val="21"/>
                <w:szCs w:val="21"/>
                <w:highlight w:val="none"/>
              </w:rPr>
            </w:pPr>
            <w:r>
              <w:rPr>
                <w:rFonts w:hAnsi="宋体"/>
                <w:color w:val="auto"/>
                <w:sz w:val="21"/>
                <w:szCs w:val="21"/>
                <w:highlight w:val="none"/>
              </w:rPr>
              <w:t>太仓应急(033)</w:t>
            </w:r>
          </w:p>
        </w:tc>
        <w:tc>
          <w:tcPr>
            <w:tcW w:w="1239" w:type="dxa"/>
            <w:tcBorders>
              <w:top w:val="nil"/>
              <w:left w:val="nil"/>
              <w:bottom w:val="single" w:color="auto" w:sz="4" w:space="0"/>
              <w:right w:val="single" w:color="auto" w:sz="4" w:space="0"/>
            </w:tcBorders>
            <w:vAlign w:val="center"/>
          </w:tcPr>
          <w:p w14:paraId="243CC67D">
            <w:pPr>
              <w:widowControl/>
              <w:jc w:val="center"/>
              <w:rPr>
                <w:rFonts w:hAnsi="宋体"/>
                <w:color w:val="auto"/>
                <w:sz w:val="21"/>
                <w:szCs w:val="21"/>
                <w:highlight w:val="none"/>
              </w:rPr>
            </w:pPr>
            <w:r>
              <w:rPr>
                <w:rFonts w:hAnsi="宋体"/>
                <w:color w:val="auto"/>
                <w:sz w:val="21"/>
                <w:szCs w:val="21"/>
                <w:highlight w:val="none"/>
              </w:rPr>
              <w:t>功率3.9KW</w:t>
            </w:r>
          </w:p>
        </w:tc>
        <w:tc>
          <w:tcPr>
            <w:tcW w:w="532" w:type="dxa"/>
            <w:tcBorders>
              <w:top w:val="nil"/>
              <w:left w:val="nil"/>
              <w:bottom w:val="single" w:color="auto" w:sz="4" w:space="0"/>
              <w:right w:val="single" w:color="auto" w:sz="4" w:space="0"/>
            </w:tcBorders>
            <w:vAlign w:val="center"/>
          </w:tcPr>
          <w:p w14:paraId="517E15B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45E4C4D">
            <w:pPr>
              <w:widowControl/>
              <w:jc w:val="center"/>
              <w:rPr>
                <w:rFonts w:hAnsi="宋体"/>
                <w:color w:val="auto"/>
                <w:sz w:val="21"/>
                <w:szCs w:val="21"/>
                <w:highlight w:val="none"/>
              </w:rPr>
            </w:pPr>
            <w:r>
              <w:rPr>
                <w:rFonts w:hAnsi="宋体"/>
                <w:color w:val="auto"/>
                <w:sz w:val="21"/>
                <w:szCs w:val="21"/>
                <w:highlight w:val="none"/>
              </w:rPr>
              <w:t>MS381</w:t>
            </w:r>
          </w:p>
        </w:tc>
        <w:tc>
          <w:tcPr>
            <w:tcW w:w="1143" w:type="dxa"/>
            <w:tcBorders>
              <w:top w:val="nil"/>
              <w:left w:val="nil"/>
              <w:bottom w:val="single" w:color="auto" w:sz="4" w:space="0"/>
              <w:right w:val="single" w:color="auto" w:sz="4" w:space="0"/>
            </w:tcBorders>
            <w:vAlign w:val="center"/>
          </w:tcPr>
          <w:p w14:paraId="1D5C276B">
            <w:pPr>
              <w:widowControl/>
              <w:jc w:val="center"/>
              <w:rPr>
                <w:rFonts w:hAnsi="宋体"/>
                <w:color w:val="auto"/>
                <w:sz w:val="21"/>
                <w:szCs w:val="21"/>
                <w:highlight w:val="none"/>
              </w:rPr>
            </w:pPr>
            <w:r>
              <w:rPr>
                <w:rFonts w:hAnsi="宋体"/>
                <w:color w:val="auto"/>
                <w:sz w:val="21"/>
                <w:szCs w:val="21"/>
                <w:highlight w:val="none"/>
              </w:rPr>
              <w:t>斯蒂尔</w:t>
            </w:r>
          </w:p>
        </w:tc>
        <w:tc>
          <w:tcPr>
            <w:tcW w:w="1424" w:type="dxa"/>
            <w:tcBorders>
              <w:top w:val="nil"/>
              <w:left w:val="nil"/>
              <w:bottom w:val="single" w:color="auto" w:sz="4" w:space="0"/>
              <w:right w:val="single" w:color="auto" w:sz="4" w:space="0"/>
            </w:tcBorders>
            <w:noWrap/>
            <w:vAlign w:val="center"/>
          </w:tcPr>
          <w:p w14:paraId="32131194">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0267A0AA">
            <w:pPr>
              <w:widowControl/>
              <w:jc w:val="center"/>
              <w:rPr>
                <w:rFonts w:hAnsi="宋体"/>
                <w:color w:val="auto"/>
                <w:sz w:val="21"/>
                <w:szCs w:val="21"/>
                <w:highlight w:val="none"/>
              </w:rPr>
            </w:pPr>
            <w:r>
              <w:rPr>
                <w:rFonts w:hAnsi="宋体"/>
                <w:color w:val="auto"/>
                <w:sz w:val="21"/>
                <w:szCs w:val="21"/>
                <w:highlight w:val="none"/>
              </w:rPr>
              <w:t>2</w:t>
            </w:r>
          </w:p>
        </w:tc>
      </w:tr>
      <w:tr w14:paraId="4D3F932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77C9F6CF">
            <w:pPr>
              <w:widowControl/>
              <w:jc w:val="center"/>
              <w:rPr>
                <w:rFonts w:hAnsi="宋体"/>
                <w:color w:val="auto"/>
                <w:sz w:val="21"/>
                <w:szCs w:val="21"/>
                <w:highlight w:val="none"/>
              </w:rPr>
            </w:pPr>
            <w:r>
              <w:rPr>
                <w:rFonts w:hAnsi="宋体"/>
                <w:color w:val="auto"/>
                <w:sz w:val="21"/>
                <w:szCs w:val="21"/>
                <w:highlight w:val="none"/>
              </w:rPr>
              <w:t>41</w:t>
            </w:r>
          </w:p>
        </w:tc>
        <w:tc>
          <w:tcPr>
            <w:tcW w:w="958" w:type="dxa"/>
            <w:tcBorders>
              <w:top w:val="nil"/>
              <w:left w:val="nil"/>
              <w:bottom w:val="single" w:color="auto" w:sz="4" w:space="0"/>
              <w:right w:val="single" w:color="auto" w:sz="4" w:space="0"/>
            </w:tcBorders>
            <w:vAlign w:val="center"/>
          </w:tcPr>
          <w:p w14:paraId="2CC07FEA">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62C67DA4">
            <w:pPr>
              <w:widowControl/>
              <w:jc w:val="center"/>
              <w:rPr>
                <w:rFonts w:hAnsi="宋体"/>
                <w:color w:val="auto"/>
                <w:sz w:val="21"/>
                <w:szCs w:val="21"/>
                <w:highlight w:val="none"/>
              </w:rPr>
            </w:pPr>
            <w:r>
              <w:rPr>
                <w:rFonts w:hAnsi="宋体"/>
                <w:color w:val="auto"/>
                <w:sz w:val="21"/>
                <w:szCs w:val="21"/>
                <w:highlight w:val="none"/>
              </w:rPr>
              <w:t>电锯</w:t>
            </w:r>
          </w:p>
        </w:tc>
        <w:tc>
          <w:tcPr>
            <w:tcW w:w="1347" w:type="dxa"/>
            <w:tcBorders>
              <w:top w:val="nil"/>
              <w:left w:val="nil"/>
              <w:bottom w:val="single" w:color="auto" w:sz="4" w:space="0"/>
              <w:right w:val="single" w:color="auto" w:sz="4" w:space="0"/>
            </w:tcBorders>
            <w:vAlign w:val="center"/>
          </w:tcPr>
          <w:p w14:paraId="0CA8C66B">
            <w:pPr>
              <w:widowControl/>
              <w:jc w:val="center"/>
              <w:rPr>
                <w:rFonts w:hAnsi="宋体"/>
                <w:color w:val="auto"/>
                <w:sz w:val="21"/>
                <w:szCs w:val="21"/>
                <w:highlight w:val="none"/>
              </w:rPr>
            </w:pPr>
            <w:r>
              <w:rPr>
                <w:rFonts w:hAnsi="宋体"/>
                <w:color w:val="auto"/>
                <w:sz w:val="21"/>
                <w:szCs w:val="21"/>
                <w:highlight w:val="none"/>
              </w:rPr>
              <w:t>太仓应急(034)</w:t>
            </w:r>
          </w:p>
        </w:tc>
        <w:tc>
          <w:tcPr>
            <w:tcW w:w="1239" w:type="dxa"/>
            <w:tcBorders>
              <w:top w:val="nil"/>
              <w:left w:val="nil"/>
              <w:bottom w:val="single" w:color="auto" w:sz="4" w:space="0"/>
              <w:right w:val="single" w:color="auto" w:sz="4" w:space="0"/>
            </w:tcBorders>
            <w:vAlign w:val="center"/>
          </w:tcPr>
          <w:p w14:paraId="42BF36C3">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4107E423">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4F9A27F">
            <w:pPr>
              <w:widowControl/>
              <w:jc w:val="center"/>
              <w:rPr>
                <w:rFonts w:hAnsi="宋体"/>
                <w:color w:val="auto"/>
                <w:sz w:val="21"/>
                <w:szCs w:val="21"/>
                <w:highlight w:val="none"/>
              </w:rPr>
            </w:pPr>
            <w:r>
              <w:rPr>
                <w:rFonts w:hAnsi="宋体"/>
                <w:color w:val="auto"/>
                <w:sz w:val="21"/>
                <w:szCs w:val="21"/>
                <w:highlight w:val="none"/>
              </w:rPr>
              <w:t>MSA220</w:t>
            </w:r>
          </w:p>
        </w:tc>
        <w:tc>
          <w:tcPr>
            <w:tcW w:w="1143" w:type="dxa"/>
            <w:tcBorders>
              <w:top w:val="nil"/>
              <w:left w:val="nil"/>
              <w:bottom w:val="single" w:color="auto" w:sz="4" w:space="0"/>
              <w:right w:val="single" w:color="auto" w:sz="4" w:space="0"/>
            </w:tcBorders>
            <w:vAlign w:val="center"/>
          </w:tcPr>
          <w:p w14:paraId="6B428892">
            <w:pPr>
              <w:widowControl/>
              <w:jc w:val="center"/>
              <w:rPr>
                <w:rFonts w:hAnsi="宋体"/>
                <w:color w:val="auto"/>
                <w:sz w:val="21"/>
                <w:szCs w:val="21"/>
                <w:highlight w:val="none"/>
              </w:rPr>
            </w:pPr>
            <w:r>
              <w:rPr>
                <w:rFonts w:hAnsi="宋体"/>
                <w:color w:val="auto"/>
                <w:sz w:val="21"/>
                <w:szCs w:val="21"/>
                <w:highlight w:val="none"/>
              </w:rPr>
              <w:t>斯蒂尔</w:t>
            </w:r>
          </w:p>
        </w:tc>
        <w:tc>
          <w:tcPr>
            <w:tcW w:w="1424" w:type="dxa"/>
            <w:tcBorders>
              <w:top w:val="nil"/>
              <w:left w:val="nil"/>
              <w:bottom w:val="single" w:color="auto" w:sz="4" w:space="0"/>
              <w:right w:val="single" w:color="auto" w:sz="4" w:space="0"/>
            </w:tcBorders>
            <w:noWrap/>
            <w:vAlign w:val="center"/>
          </w:tcPr>
          <w:p w14:paraId="1379B69D">
            <w:pPr>
              <w:widowControl/>
              <w:jc w:val="center"/>
              <w:rPr>
                <w:rFonts w:hAnsi="宋体"/>
                <w:color w:val="auto"/>
                <w:sz w:val="21"/>
                <w:szCs w:val="21"/>
                <w:highlight w:val="none"/>
              </w:rPr>
            </w:pPr>
            <w:r>
              <w:rPr>
                <w:rFonts w:hAnsi="宋体"/>
                <w:color w:val="auto"/>
                <w:sz w:val="21"/>
                <w:szCs w:val="21"/>
                <w:highlight w:val="none"/>
              </w:rPr>
              <w:t>2022年12月</w:t>
            </w:r>
          </w:p>
        </w:tc>
        <w:tc>
          <w:tcPr>
            <w:tcW w:w="812" w:type="dxa"/>
            <w:tcBorders>
              <w:top w:val="nil"/>
              <w:left w:val="nil"/>
              <w:bottom w:val="single" w:color="auto" w:sz="4" w:space="0"/>
              <w:right w:val="single" w:color="auto" w:sz="4" w:space="0"/>
            </w:tcBorders>
            <w:vAlign w:val="center"/>
          </w:tcPr>
          <w:p w14:paraId="28CFA4F3">
            <w:pPr>
              <w:widowControl/>
              <w:jc w:val="center"/>
              <w:rPr>
                <w:rFonts w:hAnsi="宋体"/>
                <w:color w:val="auto"/>
                <w:sz w:val="21"/>
                <w:szCs w:val="21"/>
                <w:highlight w:val="none"/>
              </w:rPr>
            </w:pPr>
            <w:r>
              <w:rPr>
                <w:rFonts w:hAnsi="宋体"/>
                <w:color w:val="auto"/>
                <w:sz w:val="21"/>
                <w:szCs w:val="21"/>
                <w:highlight w:val="none"/>
              </w:rPr>
              <w:t>2</w:t>
            </w:r>
          </w:p>
        </w:tc>
      </w:tr>
      <w:tr w14:paraId="2E238B3C">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93A27EF">
            <w:pPr>
              <w:widowControl/>
              <w:jc w:val="center"/>
              <w:rPr>
                <w:rFonts w:hAnsi="宋体"/>
                <w:color w:val="auto"/>
                <w:sz w:val="21"/>
                <w:szCs w:val="21"/>
                <w:highlight w:val="none"/>
              </w:rPr>
            </w:pPr>
            <w:r>
              <w:rPr>
                <w:rFonts w:hAnsi="宋体"/>
                <w:color w:val="auto"/>
                <w:sz w:val="21"/>
                <w:szCs w:val="21"/>
                <w:highlight w:val="none"/>
              </w:rPr>
              <w:t>42</w:t>
            </w:r>
          </w:p>
        </w:tc>
        <w:tc>
          <w:tcPr>
            <w:tcW w:w="958" w:type="dxa"/>
            <w:tcBorders>
              <w:top w:val="nil"/>
              <w:left w:val="nil"/>
              <w:bottom w:val="single" w:color="auto" w:sz="4" w:space="0"/>
              <w:right w:val="single" w:color="auto" w:sz="4" w:space="0"/>
            </w:tcBorders>
            <w:vAlign w:val="center"/>
          </w:tcPr>
          <w:p w14:paraId="5AB1588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4B29DB8A">
            <w:pPr>
              <w:widowControl/>
              <w:jc w:val="center"/>
              <w:rPr>
                <w:rFonts w:hAnsi="宋体"/>
                <w:color w:val="auto"/>
                <w:sz w:val="21"/>
                <w:szCs w:val="21"/>
                <w:highlight w:val="none"/>
              </w:rPr>
            </w:pPr>
            <w:r>
              <w:rPr>
                <w:rFonts w:hAnsi="宋体"/>
                <w:color w:val="auto"/>
                <w:sz w:val="21"/>
                <w:szCs w:val="21"/>
                <w:highlight w:val="none"/>
              </w:rPr>
              <w:t>高杆油锯</w:t>
            </w:r>
          </w:p>
        </w:tc>
        <w:tc>
          <w:tcPr>
            <w:tcW w:w="1347" w:type="dxa"/>
            <w:tcBorders>
              <w:top w:val="nil"/>
              <w:left w:val="nil"/>
              <w:bottom w:val="single" w:color="auto" w:sz="4" w:space="0"/>
              <w:right w:val="single" w:color="auto" w:sz="4" w:space="0"/>
            </w:tcBorders>
            <w:vAlign w:val="center"/>
          </w:tcPr>
          <w:p w14:paraId="5DFA7D41">
            <w:pPr>
              <w:widowControl/>
              <w:jc w:val="center"/>
              <w:rPr>
                <w:rFonts w:hAnsi="宋体"/>
                <w:color w:val="auto"/>
                <w:sz w:val="21"/>
                <w:szCs w:val="21"/>
                <w:highlight w:val="none"/>
              </w:rPr>
            </w:pPr>
            <w:r>
              <w:rPr>
                <w:rFonts w:hAnsi="宋体"/>
                <w:color w:val="auto"/>
                <w:sz w:val="21"/>
                <w:szCs w:val="21"/>
                <w:highlight w:val="none"/>
              </w:rPr>
              <w:t>太仓应急(035)</w:t>
            </w:r>
          </w:p>
        </w:tc>
        <w:tc>
          <w:tcPr>
            <w:tcW w:w="1239" w:type="dxa"/>
            <w:tcBorders>
              <w:top w:val="nil"/>
              <w:left w:val="nil"/>
              <w:bottom w:val="single" w:color="auto" w:sz="4" w:space="0"/>
              <w:right w:val="single" w:color="auto" w:sz="4" w:space="0"/>
            </w:tcBorders>
            <w:vAlign w:val="center"/>
          </w:tcPr>
          <w:p w14:paraId="741C2569">
            <w:pPr>
              <w:widowControl/>
              <w:jc w:val="center"/>
              <w:rPr>
                <w:rFonts w:hAnsi="宋体"/>
                <w:color w:val="auto"/>
                <w:sz w:val="21"/>
                <w:szCs w:val="21"/>
                <w:highlight w:val="none"/>
              </w:rPr>
            </w:pPr>
            <w:r>
              <w:rPr>
                <w:rFonts w:hAnsi="宋体"/>
                <w:color w:val="auto"/>
                <w:sz w:val="21"/>
                <w:szCs w:val="21"/>
                <w:highlight w:val="none"/>
              </w:rPr>
              <w:t>功率1.17KW</w:t>
            </w:r>
          </w:p>
        </w:tc>
        <w:tc>
          <w:tcPr>
            <w:tcW w:w="532" w:type="dxa"/>
            <w:tcBorders>
              <w:top w:val="nil"/>
              <w:left w:val="nil"/>
              <w:bottom w:val="single" w:color="auto" w:sz="4" w:space="0"/>
              <w:right w:val="single" w:color="auto" w:sz="4" w:space="0"/>
            </w:tcBorders>
            <w:vAlign w:val="center"/>
          </w:tcPr>
          <w:p w14:paraId="16B2BA84">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D1476F0">
            <w:pPr>
              <w:widowControl/>
              <w:jc w:val="center"/>
              <w:rPr>
                <w:rFonts w:hAnsi="宋体"/>
                <w:color w:val="auto"/>
                <w:sz w:val="21"/>
                <w:szCs w:val="21"/>
                <w:highlight w:val="none"/>
              </w:rPr>
            </w:pPr>
            <w:r>
              <w:rPr>
                <w:rFonts w:hAnsi="宋体"/>
                <w:color w:val="auto"/>
                <w:sz w:val="21"/>
                <w:szCs w:val="21"/>
                <w:highlight w:val="none"/>
              </w:rPr>
              <w:t>PPT-265ES</w:t>
            </w:r>
          </w:p>
        </w:tc>
        <w:tc>
          <w:tcPr>
            <w:tcW w:w="1143" w:type="dxa"/>
            <w:tcBorders>
              <w:top w:val="nil"/>
              <w:left w:val="nil"/>
              <w:bottom w:val="single" w:color="auto" w:sz="4" w:space="0"/>
              <w:right w:val="single" w:color="auto" w:sz="4" w:space="0"/>
            </w:tcBorders>
            <w:vAlign w:val="center"/>
          </w:tcPr>
          <w:p w14:paraId="4652FFC3">
            <w:pPr>
              <w:widowControl/>
              <w:jc w:val="center"/>
              <w:rPr>
                <w:rFonts w:hAnsi="宋体"/>
                <w:color w:val="auto"/>
                <w:sz w:val="21"/>
                <w:szCs w:val="21"/>
                <w:highlight w:val="none"/>
              </w:rPr>
            </w:pPr>
            <w:r>
              <w:rPr>
                <w:rFonts w:hAnsi="宋体"/>
                <w:color w:val="auto"/>
                <w:sz w:val="21"/>
                <w:szCs w:val="21"/>
                <w:highlight w:val="none"/>
              </w:rPr>
              <w:t>共立ECHO</w:t>
            </w:r>
          </w:p>
        </w:tc>
        <w:tc>
          <w:tcPr>
            <w:tcW w:w="1424" w:type="dxa"/>
            <w:tcBorders>
              <w:top w:val="nil"/>
              <w:left w:val="nil"/>
              <w:bottom w:val="single" w:color="auto" w:sz="4" w:space="0"/>
              <w:right w:val="single" w:color="auto" w:sz="4" w:space="0"/>
            </w:tcBorders>
            <w:noWrap/>
            <w:vAlign w:val="center"/>
          </w:tcPr>
          <w:p w14:paraId="102B550F">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3111A3F4">
            <w:pPr>
              <w:widowControl/>
              <w:jc w:val="center"/>
              <w:rPr>
                <w:rFonts w:hAnsi="宋体"/>
                <w:color w:val="auto"/>
                <w:sz w:val="21"/>
                <w:szCs w:val="21"/>
                <w:highlight w:val="none"/>
              </w:rPr>
            </w:pPr>
            <w:r>
              <w:rPr>
                <w:rFonts w:hAnsi="宋体"/>
                <w:color w:val="auto"/>
                <w:sz w:val="21"/>
                <w:szCs w:val="21"/>
                <w:highlight w:val="none"/>
              </w:rPr>
              <w:t>2</w:t>
            </w:r>
          </w:p>
        </w:tc>
      </w:tr>
      <w:tr w14:paraId="2E65E7BC">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7ABCBFCF">
            <w:pPr>
              <w:widowControl/>
              <w:jc w:val="center"/>
              <w:rPr>
                <w:rFonts w:hAnsi="宋体"/>
                <w:color w:val="auto"/>
                <w:sz w:val="21"/>
                <w:szCs w:val="21"/>
                <w:highlight w:val="none"/>
              </w:rPr>
            </w:pPr>
            <w:r>
              <w:rPr>
                <w:rFonts w:hAnsi="宋体"/>
                <w:color w:val="auto"/>
                <w:sz w:val="21"/>
                <w:szCs w:val="21"/>
                <w:highlight w:val="none"/>
              </w:rPr>
              <w:t>43</w:t>
            </w:r>
          </w:p>
        </w:tc>
        <w:tc>
          <w:tcPr>
            <w:tcW w:w="958" w:type="dxa"/>
            <w:tcBorders>
              <w:top w:val="nil"/>
              <w:left w:val="nil"/>
              <w:bottom w:val="single" w:color="auto" w:sz="4" w:space="0"/>
              <w:right w:val="single" w:color="auto" w:sz="4" w:space="0"/>
            </w:tcBorders>
            <w:vAlign w:val="center"/>
          </w:tcPr>
          <w:p w14:paraId="3001F622">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5155E2E6">
            <w:pPr>
              <w:widowControl/>
              <w:jc w:val="center"/>
              <w:rPr>
                <w:rFonts w:hAnsi="宋体"/>
                <w:color w:val="auto"/>
                <w:sz w:val="21"/>
                <w:szCs w:val="21"/>
                <w:highlight w:val="none"/>
              </w:rPr>
            </w:pPr>
            <w:r>
              <w:rPr>
                <w:rFonts w:hAnsi="宋体"/>
                <w:color w:val="auto"/>
                <w:sz w:val="21"/>
                <w:szCs w:val="21"/>
                <w:highlight w:val="none"/>
              </w:rPr>
              <w:t>割灌机</w:t>
            </w:r>
          </w:p>
        </w:tc>
        <w:tc>
          <w:tcPr>
            <w:tcW w:w="1347" w:type="dxa"/>
            <w:tcBorders>
              <w:top w:val="nil"/>
              <w:left w:val="nil"/>
              <w:bottom w:val="single" w:color="auto" w:sz="4" w:space="0"/>
              <w:right w:val="single" w:color="auto" w:sz="4" w:space="0"/>
            </w:tcBorders>
            <w:vAlign w:val="center"/>
          </w:tcPr>
          <w:p w14:paraId="47997CA7">
            <w:pPr>
              <w:widowControl/>
              <w:jc w:val="center"/>
              <w:rPr>
                <w:rFonts w:hAnsi="宋体"/>
                <w:color w:val="auto"/>
                <w:sz w:val="21"/>
                <w:szCs w:val="21"/>
                <w:highlight w:val="none"/>
              </w:rPr>
            </w:pPr>
            <w:r>
              <w:rPr>
                <w:rFonts w:hAnsi="宋体"/>
                <w:color w:val="auto"/>
                <w:sz w:val="21"/>
                <w:szCs w:val="21"/>
                <w:highlight w:val="none"/>
              </w:rPr>
              <w:t>太仓应急(036)</w:t>
            </w:r>
          </w:p>
        </w:tc>
        <w:tc>
          <w:tcPr>
            <w:tcW w:w="1239" w:type="dxa"/>
            <w:tcBorders>
              <w:top w:val="nil"/>
              <w:left w:val="nil"/>
              <w:bottom w:val="single" w:color="auto" w:sz="4" w:space="0"/>
              <w:right w:val="single" w:color="auto" w:sz="4" w:space="0"/>
            </w:tcBorders>
            <w:vAlign w:val="center"/>
          </w:tcPr>
          <w:p w14:paraId="5E83DD74">
            <w:pPr>
              <w:widowControl/>
              <w:jc w:val="center"/>
              <w:rPr>
                <w:rFonts w:hAnsi="宋体"/>
                <w:color w:val="auto"/>
                <w:sz w:val="21"/>
                <w:szCs w:val="21"/>
                <w:highlight w:val="none"/>
              </w:rPr>
            </w:pPr>
            <w:r>
              <w:rPr>
                <w:rFonts w:hAnsi="宋体"/>
                <w:color w:val="auto"/>
                <w:sz w:val="21"/>
                <w:szCs w:val="21"/>
                <w:highlight w:val="none"/>
              </w:rPr>
              <w:t>1.2KW</w:t>
            </w:r>
          </w:p>
        </w:tc>
        <w:tc>
          <w:tcPr>
            <w:tcW w:w="532" w:type="dxa"/>
            <w:tcBorders>
              <w:top w:val="nil"/>
              <w:left w:val="nil"/>
              <w:bottom w:val="single" w:color="auto" w:sz="4" w:space="0"/>
              <w:right w:val="single" w:color="auto" w:sz="4" w:space="0"/>
            </w:tcBorders>
            <w:vAlign w:val="center"/>
          </w:tcPr>
          <w:p w14:paraId="6D00F21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B3C9667">
            <w:pPr>
              <w:widowControl/>
              <w:jc w:val="center"/>
              <w:rPr>
                <w:rFonts w:hAnsi="宋体"/>
                <w:color w:val="auto"/>
                <w:sz w:val="21"/>
                <w:szCs w:val="21"/>
                <w:highlight w:val="none"/>
              </w:rPr>
            </w:pPr>
            <w:r>
              <w:rPr>
                <w:rFonts w:hAnsi="宋体"/>
                <w:color w:val="auto"/>
                <w:sz w:val="21"/>
                <w:szCs w:val="21"/>
                <w:highlight w:val="none"/>
              </w:rPr>
              <w:t>VS256-TU26</w:t>
            </w:r>
          </w:p>
        </w:tc>
        <w:tc>
          <w:tcPr>
            <w:tcW w:w="1143" w:type="dxa"/>
            <w:tcBorders>
              <w:top w:val="nil"/>
              <w:left w:val="nil"/>
              <w:bottom w:val="single" w:color="auto" w:sz="4" w:space="0"/>
              <w:right w:val="single" w:color="auto" w:sz="4" w:space="0"/>
            </w:tcBorders>
            <w:vAlign w:val="center"/>
          </w:tcPr>
          <w:p w14:paraId="04DEFFC8">
            <w:pPr>
              <w:widowControl/>
              <w:jc w:val="center"/>
              <w:rPr>
                <w:rFonts w:hAnsi="宋体"/>
                <w:color w:val="auto"/>
                <w:sz w:val="21"/>
                <w:szCs w:val="21"/>
                <w:highlight w:val="none"/>
              </w:rPr>
            </w:pPr>
            <w:r>
              <w:rPr>
                <w:rFonts w:hAnsi="宋体"/>
                <w:color w:val="auto"/>
                <w:sz w:val="21"/>
                <w:szCs w:val="21"/>
                <w:highlight w:val="none"/>
              </w:rPr>
              <w:t>三菱</w:t>
            </w:r>
          </w:p>
        </w:tc>
        <w:tc>
          <w:tcPr>
            <w:tcW w:w="1424" w:type="dxa"/>
            <w:tcBorders>
              <w:top w:val="nil"/>
              <w:left w:val="nil"/>
              <w:bottom w:val="single" w:color="auto" w:sz="4" w:space="0"/>
              <w:right w:val="single" w:color="auto" w:sz="4" w:space="0"/>
            </w:tcBorders>
            <w:noWrap/>
            <w:vAlign w:val="center"/>
          </w:tcPr>
          <w:p w14:paraId="4C719C8F">
            <w:pPr>
              <w:widowControl/>
              <w:jc w:val="center"/>
              <w:rPr>
                <w:rFonts w:hAnsi="宋体"/>
                <w:color w:val="auto"/>
                <w:sz w:val="21"/>
                <w:szCs w:val="21"/>
                <w:highlight w:val="none"/>
              </w:rPr>
            </w:pPr>
            <w:r>
              <w:rPr>
                <w:rFonts w:hAnsi="宋体"/>
                <w:color w:val="auto"/>
                <w:sz w:val="21"/>
                <w:szCs w:val="21"/>
                <w:highlight w:val="none"/>
              </w:rPr>
              <w:t>2014年10月</w:t>
            </w:r>
          </w:p>
        </w:tc>
        <w:tc>
          <w:tcPr>
            <w:tcW w:w="812" w:type="dxa"/>
            <w:tcBorders>
              <w:top w:val="nil"/>
              <w:left w:val="nil"/>
              <w:bottom w:val="single" w:color="auto" w:sz="4" w:space="0"/>
              <w:right w:val="single" w:color="auto" w:sz="4" w:space="0"/>
            </w:tcBorders>
            <w:vAlign w:val="center"/>
          </w:tcPr>
          <w:p w14:paraId="1D756BA8">
            <w:pPr>
              <w:widowControl/>
              <w:jc w:val="center"/>
              <w:rPr>
                <w:rFonts w:hAnsi="宋体"/>
                <w:color w:val="auto"/>
                <w:sz w:val="21"/>
                <w:szCs w:val="21"/>
                <w:highlight w:val="none"/>
              </w:rPr>
            </w:pPr>
            <w:r>
              <w:rPr>
                <w:rFonts w:hAnsi="宋体"/>
                <w:color w:val="auto"/>
                <w:sz w:val="21"/>
                <w:szCs w:val="21"/>
                <w:highlight w:val="none"/>
              </w:rPr>
              <w:t>2</w:t>
            </w:r>
          </w:p>
        </w:tc>
      </w:tr>
      <w:tr w14:paraId="5D72C7C6">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99488B1">
            <w:pPr>
              <w:widowControl/>
              <w:jc w:val="center"/>
              <w:rPr>
                <w:rFonts w:hAnsi="宋体"/>
                <w:color w:val="auto"/>
                <w:sz w:val="21"/>
                <w:szCs w:val="21"/>
                <w:highlight w:val="none"/>
              </w:rPr>
            </w:pPr>
            <w:r>
              <w:rPr>
                <w:rFonts w:hAnsi="宋体"/>
                <w:color w:val="auto"/>
                <w:sz w:val="21"/>
                <w:szCs w:val="21"/>
                <w:highlight w:val="none"/>
              </w:rPr>
              <w:t>44</w:t>
            </w:r>
          </w:p>
        </w:tc>
        <w:tc>
          <w:tcPr>
            <w:tcW w:w="958" w:type="dxa"/>
            <w:tcBorders>
              <w:top w:val="nil"/>
              <w:left w:val="nil"/>
              <w:bottom w:val="single" w:color="auto" w:sz="4" w:space="0"/>
              <w:right w:val="single" w:color="auto" w:sz="4" w:space="0"/>
            </w:tcBorders>
            <w:vAlign w:val="center"/>
          </w:tcPr>
          <w:p w14:paraId="715B75E0">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07D54677">
            <w:pPr>
              <w:widowControl/>
              <w:jc w:val="center"/>
              <w:rPr>
                <w:rFonts w:hAnsi="宋体"/>
                <w:color w:val="auto"/>
                <w:sz w:val="21"/>
                <w:szCs w:val="21"/>
                <w:highlight w:val="none"/>
              </w:rPr>
            </w:pPr>
            <w:r>
              <w:rPr>
                <w:rFonts w:hAnsi="宋体"/>
                <w:color w:val="auto"/>
                <w:sz w:val="21"/>
                <w:szCs w:val="21"/>
                <w:highlight w:val="none"/>
              </w:rPr>
              <w:t>绿篱机</w:t>
            </w:r>
          </w:p>
        </w:tc>
        <w:tc>
          <w:tcPr>
            <w:tcW w:w="1347" w:type="dxa"/>
            <w:tcBorders>
              <w:top w:val="nil"/>
              <w:left w:val="nil"/>
              <w:bottom w:val="single" w:color="auto" w:sz="4" w:space="0"/>
              <w:right w:val="single" w:color="auto" w:sz="4" w:space="0"/>
            </w:tcBorders>
            <w:vAlign w:val="center"/>
          </w:tcPr>
          <w:p w14:paraId="3D2CA997">
            <w:pPr>
              <w:widowControl/>
              <w:jc w:val="center"/>
              <w:rPr>
                <w:rFonts w:hAnsi="宋体"/>
                <w:color w:val="auto"/>
                <w:sz w:val="21"/>
                <w:szCs w:val="21"/>
                <w:highlight w:val="none"/>
              </w:rPr>
            </w:pPr>
            <w:r>
              <w:rPr>
                <w:rFonts w:hAnsi="宋体"/>
                <w:color w:val="auto"/>
                <w:sz w:val="21"/>
                <w:szCs w:val="21"/>
                <w:highlight w:val="none"/>
              </w:rPr>
              <w:t>太仓应急(037)</w:t>
            </w:r>
          </w:p>
        </w:tc>
        <w:tc>
          <w:tcPr>
            <w:tcW w:w="1239" w:type="dxa"/>
            <w:tcBorders>
              <w:top w:val="nil"/>
              <w:left w:val="nil"/>
              <w:bottom w:val="single" w:color="auto" w:sz="4" w:space="0"/>
              <w:right w:val="single" w:color="auto" w:sz="4" w:space="0"/>
            </w:tcBorders>
            <w:vAlign w:val="center"/>
          </w:tcPr>
          <w:p w14:paraId="4A398DAF">
            <w:pPr>
              <w:widowControl/>
              <w:jc w:val="center"/>
              <w:rPr>
                <w:rFonts w:hAnsi="宋体"/>
                <w:color w:val="auto"/>
                <w:sz w:val="21"/>
                <w:szCs w:val="21"/>
                <w:highlight w:val="none"/>
              </w:rPr>
            </w:pPr>
            <w:r>
              <w:rPr>
                <w:rFonts w:hAnsi="宋体"/>
                <w:color w:val="auto"/>
                <w:sz w:val="21"/>
                <w:szCs w:val="21"/>
                <w:highlight w:val="none"/>
              </w:rPr>
              <w:t>0.63KW</w:t>
            </w:r>
          </w:p>
        </w:tc>
        <w:tc>
          <w:tcPr>
            <w:tcW w:w="532" w:type="dxa"/>
            <w:tcBorders>
              <w:top w:val="nil"/>
              <w:left w:val="nil"/>
              <w:bottom w:val="single" w:color="auto" w:sz="4" w:space="0"/>
              <w:right w:val="single" w:color="auto" w:sz="4" w:space="0"/>
            </w:tcBorders>
            <w:vAlign w:val="center"/>
          </w:tcPr>
          <w:p w14:paraId="603871DD">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4459E84">
            <w:pPr>
              <w:widowControl/>
              <w:jc w:val="center"/>
              <w:rPr>
                <w:rFonts w:hAnsi="宋体"/>
                <w:color w:val="auto"/>
                <w:sz w:val="21"/>
                <w:szCs w:val="21"/>
                <w:highlight w:val="none"/>
              </w:rPr>
            </w:pPr>
            <w:r>
              <w:rPr>
                <w:rFonts w:hAnsi="宋体"/>
                <w:color w:val="auto"/>
                <w:sz w:val="21"/>
                <w:szCs w:val="21"/>
                <w:highlight w:val="none"/>
              </w:rPr>
              <w:t>CC223</w:t>
            </w:r>
          </w:p>
        </w:tc>
        <w:tc>
          <w:tcPr>
            <w:tcW w:w="1143" w:type="dxa"/>
            <w:tcBorders>
              <w:top w:val="nil"/>
              <w:left w:val="nil"/>
              <w:bottom w:val="single" w:color="auto" w:sz="4" w:space="0"/>
              <w:right w:val="single" w:color="auto" w:sz="4" w:space="0"/>
            </w:tcBorders>
            <w:vAlign w:val="center"/>
          </w:tcPr>
          <w:p w14:paraId="62C6459F">
            <w:pPr>
              <w:widowControl/>
              <w:jc w:val="center"/>
              <w:rPr>
                <w:rFonts w:hAnsi="宋体"/>
                <w:color w:val="auto"/>
                <w:sz w:val="21"/>
                <w:szCs w:val="21"/>
                <w:highlight w:val="none"/>
              </w:rPr>
            </w:pPr>
            <w:r>
              <w:rPr>
                <w:rFonts w:hAnsi="宋体"/>
                <w:color w:val="auto"/>
                <w:sz w:val="21"/>
                <w:szCs w:val="21"/>
                <w:highlight w:val="none"/>
              </w:rPr>
              <w:t>川崎</w:t>
            </w:r>
          </w:p>
        </w:tc>
        <w:tc>
          <w:tcPr>
            <w:tcW w:w="1424" w:type="dxa"/>
            <w:tcBorders>
              <w:top w:val="nil"/>
              <w:left w:val="nil"/>
              <w:bottom w:val="single" w:color="auto" w:sz="4" w:space="0"/>
              <w:right w:val="single" w:color="auto" w:sz="4" w:space="0"/>
            </w:tcBorders>
            <w:noWrap/>
            <w:vAlign w:val="center"/>
          </w:tcPr>
          <w:p w14:paraId="639001C0">
            <w:pPr>
              <w:widowControl/>
              <w:jc w:val="center"/>
              <w:rPr>
                <w:rFonts w:hAnsi="宋体"/>
                <w:color w:val="auto"/>
                <w:sz w:val="21"/>
                <w:szCs w:val="21"/>
                <w:highlight w:val="none"/>
              </w:rPr>
            </w:pPr>
            <w:r>
              <w:rPr>
                <w:rFonts w:hAnsi="宋体"/>
                <w:color w:val="auto"/>
                <w:sz w:val="21"/>
                <w:szCs w:val="21"/>
                <w:highlight w:val="none"/>
              </w:rPr>
              <w:t>2015年9月</w:t>
            </w:r>
          </w:p>
        </w:tc>
        <w:tc>
          <w:tcPr>
            <w:tcW w:w="812" w:type="dxa"/>
            <w:tcBorders>
              <w:top w:val="nil"/>
              <w:left w:val="nil"/>
              <w:bottom w:val="single" w:color="auto" w:sz="4" w:space="0"/>
              <w:right w:val="single" w:color="auto" w:sz="4" w:space="0"/>
            </w:tcBorders>
            <w:vAlign w:val="center"/>
          </w:tcPr>
          <w:p w14:paraId="0BAFE504">
            <w:pPr>
              <w:widowControl/>
              <w:jc w:val="center"/>
              <w:rPr>
                <w:rFonts w:hAnsi="宋体"/>
                <w:color w:val="auto"/>
                <w:sz w:val="21"/>
                <w:szCs w:val="21"/>
                <w:highlight w:val="none"/>
              </w:rPr>
            </w:pPr>
            <w:r>
              <w:rPr>
                <w:rFonts w:hAnsi="宋体"/>
                <w:color w:val="auto"/>
                <w:sz w:val="21"/>
                <w:szCs w:val="21"/>
                <w:highlight w:val="none"/>
              </w:rPr>
              <w:t>2</w:t>
            </w:r>
          </w:p>
        </w:tc>
      </w:tr>
      <w:tr w14:paraId="3A81C4DA">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3D13DD8">
            <w:pPr>
              <w:widowControl/>
              <w:jc w:val="center"/>
              <w:rPr>
                <w:rFonts w:hAnsi="宋体"/>
                <w:color w:val="auto"/>
                <w:sz w:val="21"/>
                <w:szCs w:val="21"/>
                <w:highlight w:val="none"/>
              </w:rPr>
            </w:pPr>
            <w:r>
              <w:rPr>
                <w:rFonts w:hAnsi="宋体"/>
                <w:color w:val="auto"/>
                <w:sz w:val="21"/>
                <w:szCs w:val="21"/>
                <w:highlight w:val="none"/>
              </w:rPr>
              <w:t>45</w:t>
            </w:r>
          </w:p>
        </w:tc>
        <w:tc>
          <w:tcPr>
            <w:tcW w:w="958" w:type="dxa"/>
            <w:tcBorders>
              <w:top w:val="nil"/>
              <w:left w:val="nil"/>
              <w:bottom w:val="single" w:color="auto" w:sz="4" w:space="0"/>
              <w:right w:val="single" w:color="auto" w:sz="4" w:space="0"/>
            </w:tcBorders>
            <w:vAlign w:val="center"/>
          </w:tcPr>
          <w:p w14:paraId="12EE9C3D">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1B718EB3">
            <w:pPr>
              <w:widowControl/>
              <w:jc w:val="center"/>
              <w:rPr>
                <w:rFonts w:hAnsi="宋体"/>
                <w:color w:val="auto"/>
                <w:sz w:val="21"/>
                <w:szCs w:val="21"/>
                <w:highlight w:val="none"/>
              </w:rPr>
            </w:pPr>
            <w:r>
              <w:rPr>
                <w:rFonts w:hAnsi="宋体"/>
                <w:color w:val="auto"/>
                <w:sz w:val="21"/>
                <w:szCs w:val="21"/>
                <w:highlight w:val="none"/>
              </w:rPr>
              <w:t>冷风森林灭火器</w:t>
            </w:r>
          </w:p>
        </w:tc>
        <w:tc>
          <w:tcPr>
            <w:tcW w:w="1347" w:type="dxa"/>
            <w:tcBorders>
              <w:top w:val="nil"/>
              <w:left w:val="nil"/>
              <w:bottom w:val="single" w:color="auto" w:sz="4" w:space="0"/>
              <w:right w:val="single" w:color="auto" w:sz="4" w:space="0"/>
            </w:tcBorders>
            <w:vAlign w:val="center"/>
          </w:tcPr>
          <w:p w14:paraId="65AD617D">
            <w:pPr>
              <w:widowControl/>
              <w:jc w:val="center"/>
              <w:rPr>
                <w:rFonts w:hAnsi="宋体"/>
                <w:color w:val="auto"/>
                <w:sz w:val="21"/>
                <w:szCs w:val="21"/>
                <w:highlight w:val="none"/>
              </w:rPr>
            </w:pPr>
            <w:r>
              <w:rPr>
                <w:rFonts w:hAnsi="宋体"/>
                <w:color w:val="auto"/>
                <w:sz w:val="21"/>
                <w:szCs w:val="21"/>
                <w:highlight w:val="none"/>
              </w:rPr>
              <w:t>太仓应急(039)</w:t>
            </w:r>
          </w:p>
        </w:tc>
        <w:tc>
          <w:tcPr>
            <w:tcW w:w="1239" w:type="dxa"/>
            <w:tcBorders>
              <w:top w:val="nil"/>
              <w:left w:val="nil"/>
              <w:bottom w:val="single" w:color="auto" w:sz="4" w:space="0"/>
              <w:right w:val="single" w:color="auto" w:sz="4" w:space="0"/>
            </w:tcBorders>
            <w:vAlign w:val="center"/>
          </w:tcPr>
          <w:p w14:paraId="71605EB8">
            <w:pPr>
              <w:widowControl/>
              <w:jc w:val="center"/>
              <w:rPr>
                <w:rFonts w:hAnsi="宋体"/>
                <w:color w:val="auto"/>
                <w:sz w:val="21"/>
                <w:szCs w:val="21"/>
                <w:highlight w:val="none"/>
              </w:rPr>
            </w:pPr>
            <w:r>
              <w:rPr>
                <w:rFonts w:hAnsi="宋体"/>
                <w:color w:val="auto"/>
                <w:sz w:val="21"/>
                <w:szCs w:val="21"/>
                <w:highlight w:val="none"/>
              </w:rPr>
              <w:t>3.0KW</w:t>
            </w:r>
          </w:p>
        </w:tc>
        <w:tc>
          <w:tcPr>
            <w:tcW w:w="532" w:type="dxa"/>
            <w:tcBorders>
              <w:top w:val="nil"/>
              <w:left w:val="nil"/>
              <w:bottom w:val="single" w:color="auto" w:sz="4" w:space="0"/>
              <w:right w:val="single" w:color="auto" w:sz="4" w:space="0"/>
            </w:tcBorders>
            <w:vAlign w:val="center"/>
          </w:tcPr>
          <w:p w14:paraId="2DF8C3BC">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6372B5B">
            <w:pPr>
              <w:widowControl/>
              <w:jc w:val="center"/>
              <w:rPr>
                <w:rFonts w:hAnsi="宋体"/>
                <w:color w:val="auto"/>
                <w:sz w:val="21"/>
                <w:szCs w:val="21"/>
                <w:highlight w:val="none"/>
              </w:rPr>
            </w:pPr>
            <w:r>
              <w:rPr>
                <w:rFonts w:hAnsi="宋体"/>
                <w:color w:val="auto"/>
                <w:sz w:val="21"/>
                <w:szCs w:val="21"/>
                <w:highlight w:val="none"/>
              </w:rPr>
              <w:t>DR600</w:t>
            </w:r>
          </w:p>
        </w:tc>
        <w:tc>
          <w:tcPr>
            <w:tcW w:w="1143" w:type="dxa"/>
            <w:tcBorders>
              <w:top w:val="nil"/>
              <w:left w:val="nil"/>
              <w:bottom w:val="single" w:color="auto" w:sz="4" w:space="0"/>
              <w:right w:val="single" w:color="auto" w:sz="4" w:space="0"/>
            </w:tcBorders>
            <w:vAlign w:val="center"/>
          </w:tcPr>
          <w:p w14:paraId="0884926A">
            <w:pPr>
              <w:widowControl/>
              <w:jc w:val="center"/>
              <w:rPr>
                <w:rFonts w:hAnsi="宋体"/>
                <w:color w:val="auto"/>
                <w:sz w:val="21"/>
                <w:szCs w:val="21"/>
                <w:highlight w:val="none"/>
              </w:rPr>
            </w:pPr>
            <w:r>
              <w:rPr>
                <w:rFonts w:hAnsi="宋体"/>
                <w:color w:val="auto"/>
                <w:sz w:val="21"/>
                <w:szCs w:val="21"/>
                <w:highlight w:val="none"/>
              </w:rPr>
              <w:t>斯蒂尔</w:t>
            </w:r>
          </w:p>
        </w:tc>
        <w:tc>
          <w:tcPr>
            <w:tcW w:w="1424" w:type="dxa"/>
            <w:tcBorders>
              <w:top w:val="nil"/>
              <w:left w:val="nil"/>
              <w:bottom w:val="single" w:color="auto" w:sz="4" w:space="0"/>
              <w:right w:val="single" w:color="auto" w:sz="4" w:space="0"/>
            </w:tcBorders>
            <w:noWrap/>
            <w:vAlign w:val="center"/>
          </w:tcPr>
          <w:p w14:paraId="3EA4DFE8">
            <w:pPr>
              <w:widowControl/>
              <w:jc w:val="center"/>
              <w:rPr>
                <w:rFonts w:hAnsi="宋体"/>
                <w:color w:val="auto"/>
                <w:sz w:val="21"/>
                <w:szCs w:val="21"/>
                <w:highlight w:val="none"/>
              </w:rPr>
            </w:pPr>
            <w:r>
              <w:rPr>
                <w:rFonts w:hAnsi="宋体"/>
                <w:color w:val="auto"/>
                <w:sz w:val="21"/>
                <w:szCs w:val="21"/>
                <w:highlight w:val="none"/>
              </w:rPr>
              <w:t>2016年11月</w:t>
            </w:r>
          </w:p>
        </w:tc>
        <w:tc>
          <w:tcPr>
            <w:tcW w:w="812" w:type="dxa"/>
            <w:tcBorders>
              <w:top w:val="nil"/>
              <w:left w:val="nil"/>
              <w:bottom w:val="single" w:color="auto" w:sz="4" w:space="0"/>
              <w:right w:val="single" w:color="auto" w:sz="4" w:space="0"/>
            </w:tcBorders>
            <w:vAlign w:val="center"/>
          </w:tcPr>
          <w:p w14:paraId="0B92272E">
            <w:pPr>
              <w:widowControl/>
              <w:jc w:val="center"/>
              <w:rPr>
                <w:rFonts w:hAnsi="宋体"/>
                <w:color w:val="auto"/>
                <w:sz w:val="21"/>
                <w:szCs w:val="21"/>
                <w:highlight w:val="none"/>
              </w:rPr>
            </w:pPr>
            <w:r>
              <w:rPr>
                <w:rFonts w:hAnsi="宋体"/>
                <w:color w:val="auto"/>
                <w:sz w:val="21"/>
                <w:szCs w:val="21"/>
                <w:highlight w:val="none"/>
              </w:rPr>
              <w:t>2</w:t>
            </w:r>
          </w:p>
        </w:tc>
      </w:tr>
      <w:tr w14:paraId="0DBE9E9B">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337ADD56">
            <w:pPr>
              <w:widowControl/>
              <w:jc w:val="center"/>
              <w:rPr>
                <w:rFonts w:hAnsi="宋体"/>
                <w:color w:val="auto"/>
                <w:sz w:val="21"/>
                <w:szCs w:val="21"/>
                <w:highlight w:val="none"/>
              </w:rPr>
            </w:pPr>
            <w:r>
              <w:rPr>
                <w:rFonts w:hAnsi="宋体"/>
                <w:color w:val="auto"/>
                <w:sz w:val="21"/>
                <w:szCs w:val="21"/>
                <w:highlight w:val="none"/>
              </w:rPr>
              <w:t>46</w:t>
            </w:r>
          </w:p>
        </w:tc>
        <w:tc>
          <w:tcPr>
            <w:tcW w:w="958" w:type="dxa"/>
            <w:tcBorders>
              <w:top w:val="nil"/>
              <w:left w:val="nil"/>
              <w:bottom w:val="single" w:color="auto" w:sz="4" w:space="0"/>
              <w:right w:val="single" w:color="auto" w:sz="4" w:space="0"/>
            </w:tcBorders>
            <w:vAlign w:val="center"/>
          </w:tcPr>
          <w:p w14:paraId="6752100B">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34945436">
            <w:pPr>
              <w:widowControl/>
              <w:jc w:val="center"/>
              <w:rPr>
                <w:rFonts w:hAnsi="宋体"/>
                <w:color w:val="auto"/>
                <w:sz w:val="21"/>
                <w:szCs w:val="21"/>
                <w:highlight w:val="none"/>
              </w:rPr>
            </w:pPr>
            <w:r>
              <w:rPr>
                <w:rFonts w:hAnsi="宋体"/>
                <w:color w:val="auto"/>
                <w:sz w:val="21"/>
                <w:szCs w:val="21"/>
                <w:highlight w:val="none"/>
              </w:rPr>
              <w:t>破碎镐</w:t>
            </w:r>
          </w:p>
        </w:tc>
        <w:tc>
          <w:tcPr>
            <w:tcW w:w="1347" w:type="dxa"/>
            <w:tcBorders>
              <w:top w:val="nil"/>
              <w:left w:val="nil"/>
              <w:bottom w:val="single" w:color="auto" w:sz="4" w:space="0"/>
              <w:right w:val="single" w:color="auto" w:sz="4" w:space="0"/>
            </w:tcBorders>
            <w:vAlign w:val="center"/>
          </w:tcPr>
          <w:p w14:paraId="2F52E25F">
            <w:pPr>
              <w:widowControl/>
              <w:jc w:val="center"/>
              <w:rPr>
                <w:rFonts w:hAnsi="宋体"/>
                <w:color w:val="auto"/>
                <w:sz w:val="21"/>
                <w:szCs w:val="21"/>
                <w:highlight w:val="none"/>
              </w:rPr>
            </w:pPr>
            <w:r>
              <w:rPr>
                <w:rFonts w:hAnsi="宋体"/>
                <w:color w:val="auto"/>
                <w:sz w:val="21"/>
                <w:szCs w:val="21"/>
                <w:highlight w:val="none"/>
              </w:rPr>
              <w:t>太仓应急(040)</w:t>
            </w:r>
          </w:p>
        </w:tc>
        <w:tc>
          <w:tcPr>
            <w:tcW w:w="1239" w:type="dxa"/>
            <w:tcBorders>
              <w:top w:val="nil"/>
              <w:left w:val="nil"/>
              <w:bottom w:val="single" w:color="auto" w:sz="4" w:space="0"/>
              <w:right w:val="single" w:color="auto" w:sz="4" w:space="0"/>
            </w:tcBorders>
            <w:vAlign w:val="center"/>
          </w:tcPr>
          <w:p w14:paraId="1609E2AE">
            <w:pPr>
              <w:widowControl/>
              <w:jc w:val="center"/>
              <w:rPr>
                <w:rFonts w:hAnsi="宋体"/>
                <w:color w:val="auto"/>
                <w:sz w:val="21"/>
                <w:szCs w:val="21"/>
                <w:highlight w:val="none"/>
              </w:rPr>
            </w:pPr>
            <w:r>
              <w:rPr>
                <w:rFonts w:hAnsi="宋体"/>
                <w:color w:val="auto"/>
                <w:sz w:val="21"/>
                <w:szCs w:val="21"/>
                <w:highlight w:val="none"/>
              </w:rPr>
              <w:t>流量26-34LPM</w:t>
            </w:r>
          </w:p>
        </w:tc>
        <w:tc>
          <w:tcPr>
            <w:tcW w:w="532" w:type="dxa"/>
            <w:tcBorders>
              <w:top w:val="nil"/>
              <w:left w:val="nil"/>
              <w:bottom w:val="single" w:color="auto" w:sz="4" w:space="0"/>
              <w:right w:val="single" w:color="auto" w:sz="4" w:space="0"/>
            </w:tcBorders>
            <w:vAlign w:val="center"/>
          </w:tcPr>
          <w:p w14:paraId="51679FE4">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ED98A13">
            <w:pPr>
              <w:widowControl/>
              <w:jc w:val="center"/>
              <w:rPr>
                <w:rFonts w:hAnsi="宋体"/>
                <w:color w:val="auto"/>
                <w:sz w:val="21"/>
                <w:szCs w:val="21"/>
                <w:highlight w:val="none"/>
              </w:rPr>
            </w:pPr>
            <w:r>
              <w:rPr>
                <w:rFonts w:hAnsi="宋体"/>
                <w:color w:val="auto"/>
                <w:sz w:val="21"/>
                <w:szCs w:val="21"/>
                <w:highlight w:val="none"/>
              </w:rPr>
              <w:t>BR45130E</w:t>
            </w:r>
          </w:p>
        </w:tc>
        <w:tc>
          <w:tcPr>
            <w:tcW w:w="1143" w:type="dxa"/>
            <w:tcBorders>
              <w:top w:val="nil"/>
              <w:left w:val="nil"/>
              <w:bottom w:val="single" w:color="auto" w:sz="4" w:space="0"/>
              <w:right w:val="single" w:color="auto" w:sz="4" w:space="0"/>
            </w:tcBorders>
            <w:vAlign w:val="center"/>
          </w:tcPr>
          <w:p w14:paraId="46A48F6C">
            <w:pPr>
              <w:widowControl/>
              <w:jc w:val="center"/>
              <w:rPr>
                <w:rFonts w:hAnsi="宋体"/>
                <w:color w:val="auto"/>
                <w:sz w:val="21"/>
                <w:szCs w:val="21"/>
                <w:highlight w:val="none"/>
              </w:rPr>
            </w:pPr>
            <w:r>
              <w:rPr>
                <w:rFonts w:hAnsi="宋体"/>
                <w:color w:val="auto"/>
                <w:sz w:val="21"/>
                <w:szCs w:val="21"/>
                <w:highlight w:val="none"/>
              </w:rPr>
              <w:t>史丹利</w:t>
            </w:r>
          </w:p>
        </w:tc>
        <w:tc>
          <w:tcPr>
            <w:tcW w:w="1424" w:type="dxa"/>
            <w:tcBorders>
              <w:top w:val="nil"/>
              <w:left w:val="nil"/>
              <w:bottom w:val="single" w:color="auto" w:sz="4" w:space="0"/>
              <w:right w:val="single" w:color="auto" w:sz="4" w:space="0"/>
            </w:tcBorders>
            <w:noWrap/>
            <w:vAlign w:val="center"/>
          </w:tcPr>
          <w:p w14:paraId="74FBF2E1">
            <w:pPr>
              <w:widowControl/>
              <w:jc w:val="center"/>
              <w:rPr>
                <w:rFonts w:hAnsi="宋体"/>
                <w:color w:val="auto"/>
                <w:sz w:val="21"/>
                <w:szCs w:val="21"/>
                <w:highlight w:val="none"/>
              </w:rPr>
            </w:pPr>
            <w:r>
              <w:rPr>
                <w:rFonts w:hAnsi="宋体"/>
                <w:color w:val="auto"/>
                <w:sz w:val="21"/>
                <w:szCs w:val="21"/>
                <w:highlight w:val="none"/>
              </w:rPr>
              <w:t>2014年11月</w:t>
            </w:r>
          </w:p>
        </w:tc>
        <w:tc>
          <w:tcPr>
            <w:tcW w:w="812" w:type="dxa"/>
            <w:tcBorders>
              <w:top w:val="nil"/>
              <w:left w:val="nil"/>
              <w:bottom w:val="single" w:color="auto" w:sz="4" w:space="0"/>
              <w:right w:val="single" w:color="auto" w:sz="4" w:space="0"/>
            </w:tcBorders>
            <w:vAlign w:val="center"/>
          </w:tcPr>
          <w:p w14:paraId="4607EB03">
            <w:pPr>
              <w:widowControl/>
              <w:jc w:val="center"/>
              <w:rPr>
                <w:rFonts w:hAnsi="宋体"/>
                <w:color w:val="auto"/>
                <w:sz w:val="21"/>
                <w:szCs w:val="21"/>
                <w:highlight w:val="none"/>
              </w:rPr>
            </w:pPr>
            <w:r>
              <w:rPr>
                <w:rFonts w:hAnsi="宋体"/>
                <w:color w:val="auto"/>
                <w:sz w:val="21"/>
                <w:szCs w:val="21"/>
                <w:highlight w:val="none"/>
              </w:rPr>
              <w:t>2</w:t>
            </w:r>
          </w:p>
        </w:tc>
      </w:tr>
      <w:tr w14:paraId="045F7F86">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E3AFC68">
            <w:pPr>
              <w:widowControl/>
              <w:jc w:val="center"/>
              <w:rPr>
                <w:rFonts w:hAnsi="宋体"/>
                <w:color w:val="auto"/>
                <w:sz w:val="21"/>
                <w:szCs w:val="21"/>
                <w:highlight w:val="none"/>
              </w:rPr>
            </w:pPr>
            <w:r>
              <w:rPr>
                <w:rFonts w:hAnsi="宋体"/>
                <w:color w:val="auto"/>
                <w:sz w:val="21"/>
                <w:szCs w:val="21"/>
                <w:highlight w:val="none"/>
              </w:rPr>
              <w:t>47</w:t>
            </w:r>
          </w:p>
        </w:tc>
        <w:tc>
          <w:tcPr>
            <w:tcW w:w="958" w:type="dxa"/>
            <w:tcBorders>
              <w:top w:val="nil"/>
              <w:left w:val="nil"/>
              <w:bottom w:val="single" w:color="auto" w:sz="4" w:space="0"/>
              <w:right w:val="single" w:color="auto" w:sz="4" w:space="0"/>
            </w:tcBorders>
            <w:vAlign w:val="center"/>
          </w:tcPr>
          <w:p w14:paraId="16217E3A">
            <w:pPr>
              <w:widowControl/>
              <w:jc w:val="center"/>
              <w:rPr>
                <w:rFonts w:hAnsi="宋体"/>
                <w:color w:val="auto"/>
                <w:sz w:val="21"/>
                <w:szCs w:val="21"/>
                <w:highlight w:val="none"/>
              </w:rPr>
            </w:pPr>
            <w:r>
              <w:rPr>
                <w:rFonts w:hAnsi="宋体"/>
                <w:color w:val="auto"/>
                <w:sz w:val="21"/>
                <w:szCs w:val="21"/>
                <w:highlight w:val="none"/>
              </w:rPr>
              <w:t>专项养护设备</w:t>
            </w:r>
          </w:p>
        </w:tc>
        <w:tc>
          <w:tcPr>
            <w:tcW w:w="1276" w:type="dxa"/>
            <w:tcBorders>
              <w:top w:val="nil"/>
              <w:left w:val="nil"/>
              <w:bottom w:val="single" w:color="auto" w:sz="4" w:space="0"/>
              <w:right w:val="single" w:color="auto" w:sz="4" w:space="0"/>
            </w:tcBorders>
            <w:vAlign w:val="center"/>
          </w:tcPr>
          <w:p w14:paraId="651DF6DD">
            <w:pPr>
              <w:widowControl/>
              <w:jc w:val="center"/>
              <w:rPr>
                <w:rFonts w:hAnsi="宋体"/>
                <w:color w:val="auto"/>
                <w:sz w:val="21"/>
                <w:szCs w:val="21"/>
                <w:highlight w:val="none"/>
              </w:rPr>
            </w:pPr>
            <w:r>
              <w:rPr>
                <w:rFonts w:hAnsi="宋体"/>
                <w:color w:val="auto"/>
                <w:sz w:val="21"/>
                <w:szCs w:val="21"/>
                <w:highlight w:val="none"/>
              </w:rPr>
              <w:t>切割机</w:t>
            </w:r>
          </w:p>
        </w:tc>
        <w:tc>
          <w:tcPr>
            <w:tcW w:w="1347" w:type="dxa"/>
            <w:tcBorders>
              <w:top w:val="nil"/>
              <w:left w:val="nil"/>
              <w:bottom w:val="single" w:color="auto" w:sz="4" w:space="0"/>
              <w:right w:val="single" w:color="auto" w:sz="4" w:space="0"/>
            </w:tcBorders>
            <w:vAlign w:val="center"/>
          </w:tcPr>
          <w:p w14:paraId="180C3BC7">
            <w:pPr>
              <w:widowControl/>
              <w:jc w:val="center"/>
              <w:rPr>
                <w:rFonts w:hAnsi="宋体"/>
                <w:color w:val="auto"/>
                <w:sz w:val="21"/>
                <w:szCs w:val="21"/>
                <w:highlight w:val="none"/>
              </w:rPr>
            </w:pPr>
            <w:r>
              <w:rPr>
                <w:rFonts w:hAnsi="宋体"/>
                <w:color w:val="auto"/>
                <w:sz w:val="21"/>
                <w:szCs w:val="21"/>
                <w:highlight w:val="none"/>
              </w:rPr>
              <w:t>太仓应急(041)</w:t>
            </w:r>
          </w:p>
        </w:tc>
        <w:tc>
          <w:tcPr>
            <w:tcW w:w="1239" w:type="dxa"/>
            <w:tcBorders>
              <w:top w:val="nil"/>
              <w:left w:val="nil"/>
              <w:bottom w:val="single" w:color="auto" w:sz="4" w:space="0"/>
              <w:right w:val="single" w:color="auto" w:sz="4" w:space="0"/>
            </w:tcBorders>
            <w:vAlign w:val="center"/>
          </w:tcPr>
          <w:p w14:paraId="36337AD3">
            <w:pPr>
              <w:widowControl/>
              <w:jc w:val="center"/>
              <w:rPr>
                <w:rFonts w:hAnsi="宋体"/>
                <w:color w:val="auto"/>
                <w:sz w:val="21"/>
                <w:szCs w:val="21"/>
                <w:highlight w:val="none"/>
              </w:rPr>
            </w:pPr>
            <w:r>
              <w:rPr>
                <w:rFonts w:hAnsi="宋体"/>
                <w:color w:val="auto"/>
                <w:sz w:val="21"/>
                <w:szCs w:val="21"/>
                <w:highlight w:val="none"/>
              </w:rPr>
              <w:t>70mm-100mm</w:t>
            </w:r>
          </w:p>
        </w:tc>
        <w:tc>
          <w:tcPr>
            <w:tcW w:w="532" w:type="dxa"/>
            <w:tcBorders>
              <w:top w:val="nil"/>
              <w:left w:val="nil"/>
              <w:bottom w:val="single" w:color="auto" w:sz="4" w:space="0"/>
              <w:right w:val="single" w:color="auto" w:sz="4" w:space="0"/>
            </w:tcBorders>
            <w:vAlign w:val="center"/>
          </w:tcPr>
          <w:p w14:paraId="014EB425">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E001212">
            <w:pPr>
              <w:widowControl/>
              <w:jc w:val="center"/>
              <w:rPr>
                <w:rFonts w:hAnsi="宋体"/>
                <w:color w:val="auto"/>
                <w:sz w:val="21"/>
                <w:szCs w:val="21"/>
                <w:highlight w:val="none"/>
              </w:rPr>
            </w:pPr>
            <w:r>
              <w:rPr>
                <w:rFonts w:hAnsi="宋体"/>
                <w:color w:val="auto"/>
                <w:sz w:val="21"/>
                <w:szCs w:val="21"/>
                <w:highlight w:val="none"/>
              </w:rPr>
              <w:t>MCD-L14</w:t>
            </w:r>
          </w:p>
        </w:tc>
        <w:tc>
          <w:tcPr>
            <w:tcW w:w="1143" w:type="dxa"/>
            <w:tcBorders>
              <w:top w:val="nil"/>
              <w:left w:val="nil"/>
              <w:bottom w:val="single" w:color="auto" w:sz="4" w:space="0"/>
              <w:right w:val="single" w:color="auto" w:sz="4" w:space="0"/>
            </w:tcBorders>
            <w:vAlign w:val="center"/>
          </w:tcPr>
          <w:p w14:paraId="6EA37FF3">
            <w:pPr>
              <w:widowControl/>
              <w:jc w:val="center"/>
              <w:rPr>
                <w:rFonts w:hAnsi="宋体"/>
                <w:color w:val="auto"/>
                <w:sz w:val="21"/>
                <w:szCs w:val="21"/>
                <w:highlight w:val="none"/>
              </w:rPr>
            </w:pPr>
            <w:r>
              <w:rPr>
                <w:rFonts w:hAnsi="宋体"/>
                <w:color w:val="auto"/>
                <w:sz w:val="21"/>
                <w:szCs w:val="21"/>
                <w:highlight w:val="none"/>
              </w:rPr>
              <w:t>三笠</w:t>
            </w:r>
          </w:p>
        </w:tc>
        <w:tc>
          <w:tcPr>
            <w:tcW w:w="1424" w:type="dxa"/>
            <w:tcBorders>
              <w:top w:val="nil"/>
              <w:left w:val="nil"/>
              <w:bottom w:val="single" w:color="auto" w:sz="4" w:space="0"/>
              <w:right w:val="single" w:color="auto" w:sz="4" w:space="0"/>
            </w:tcBorders>
            <w:noWrap/>
            <w:vAlign w:val="center"/>
          </w:tcPr>
          <w:p w14:paraId="4953A5EF">
            <w:pPr>
              <w:widowControl/>
              <w:jc w:val="center"/>
              <w:rPr>
                <w:rFonts w:hAnsi="宋体"/>
                <w:color w:val="auto"/>
                <w:sz w:val="21"/>
                <w:szCs w:val="21"/>
                <w:highlight w:val="none"/>
              </w:rPr>
            </w:pPr>
            <w:r>
              <w:rPr>
                <w:rFonts w:hAnsi="宋体"/>
                <w:color w:val="auto"/>
                <w:sz w:val="21"/>
                <w:szCs w:val="21"/>
                <w:highlight w:val="none"/>
              </w:rPr>
              <w:t>2014年月</w:t>
            </w:r>
          </w:p>
        </w:tc>
        <w:tc>
          <w:tcPr>
            <w:tcW w:w="812" w:type="dxa"/>
            <w:tcBorders>
              <w:top w:val="nil"/>
              <w:left w:val="nil"/>
              <w:bottom w:val="single" w:color="auto" w:sz="4" w:space="0"/>
              <w:right w:val="single" w:color="auto" w:sz="4" w:space="0"/>
            </w:tcBorders>
            <w:vAlign w:val="center"/>
          </w:tcPr>
          <w:p w14:paraId="1D50E13D">
            <w:pPr>
              <w:widowControl/>
              <w:jc w:val="center"/>
              <w:rPr>
                <w:rFonts w:hAnsi="宋体"/>
                <w:color w:val="auto"/>
                <w:sz w:val="21"/>
                <w:szCs w:val="21"/>
                <w:highlight w:val="none"/>
              </w:rPr>
            </w:pPr>
            <w:r>
              <w:rPr>
                <w:rFonts w:hAnsi="宋体"/>
                <w:color w:val="auto"/>
                <w:sz w:val="21"/>
                <w:szCs w:val="21"/>
                <w:highlight w:val="none"/>
              </w:rPr>
              <w:t>2</w:t>
            </w:r>
          </w:p>
        </w:tc>
      </w:tr>
      <w:tr w14:paraId="54B57B84">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EA4841B">
            <w:pPr>
              <w:widowControl/>
              <w:jc w:val="center"/>
              <w:rPr>
                <w:rFonts w:hAnsi="宋体"/>
                <w:color w:val="auto"/>
                <w:sz w:val="21"/>
                <w:szCs w:val="21"/>
                <w:highlight w:val="none"/>
              </w:rPr>
            </w:pPr>
            <w:r>
              <w:rPr>
                <w:rFonts w:hAnsi="宋体"/>
                <w:color w:val="auto"/>
                <w:sz w:val="21"/>
                <w:szCs w:val="21"/>
                <w:highlight w:val="none"/>
              </w:rPr>
              <w:t>48</w:t>
            </w:r>
          </w:p>
        </w:tc>
        <w:tc>
          <w:tcPr>
            <w:tcW w:w="958" w:type="dxa"/>
            <w:tcBorders>
              <w:top w:val="nil"/>
              <w:left w:val="nil"/>
              <w:bottom w:val="single" w:color="auto" w:sz="4" w:space="0"/>
              <w:right w:val="single" w:color="auto" w:sz="4" w:space="0"/>
            </w:tcBorders>
            <w:vAlign w:val="center"/>
          </w:tcPr>
          <w:p w14:paraId="63946CAC">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0F29DAE0">
            <w:pPr>
              <w:widowControl/>
              <w:jc w:val="center"/>
              <w:rPr>
                <w:rFonts w:hAnsi="宋体"/>
                <w:color w:val="auto"/>
                <w:sz w:val="21"/>
                <w:szCs w:val="21"/>
                <w:highlight w:val="none"/>
              </w:rPr>
            </w:pPr>
            <w:r>
              <w:rPr>
                <w:rFonts w:hAnsi="宋体"/>
                <w:color w:val="auto"/>
                <w:sz w:val="21"/>
                <w:szCs w:val="21"/>
                <w:highlight w:val="none"/>
              </w:rPr>
              <w:t>多功能热再生养护车</w:t>
            </w:r>
          </w:p>
        </w:tc>
        <w:tc>
          <w:tcPr>
            <w:tcW w:w="1347" w:type="dxa"/>
            <w:tcBorders>
              <w:top w:val="nil"/>
              <w:left w:val="nil"/>
              <w:bottom w:val="single" w:color="auto" w:sz="4" w:space="0"/>
              <w:right w:val="single" w:color="auto" w:sz="4" w:space="0"/>
            </w:tcBorders>
            <w:vAlign w:val="center"/>
          </w:tcPr>
          <w:p w14:paraId="2DD4109C">
            <w:pPr>
              <w:widowControl/>
              <w:jc w:val="center"/>
              <w:rPr>
                <w:rFonts w:hAnsi="宋体"/>
                <w:color w:val="auto"/>
                <w:sz w:val="21"/>
                <w:szCs w:val="21"/>
                <w:highlight w:val="none"/>
              </w:rPr>
            </w:pPr>
            <w:r>
              <w:rPr>
                <w:rFonts w:hAnsi="宋体"/>
                <w:color w:val="auto"/>
                <w:sz w:val="21"/>
                <w:szCs w:val="21"/>
                <w:highlight w:val="none"/>
              </w:rPr>
              <w:t>太仓应急(044)</w:t>
            </w:r>
          </w:p>
        </w:tc>
        <w:tc>
          <w:tcPr>
            <w:tcW w:w="1239" w:type="dxa"/>
            <w:tcBorders>
              <w:top w:val="nil"/>
              <w:left w:val="nil"/>
              <w:bottom w:val="single" w:color="auto" w:sz="4" w:space="0"/>
              <w:right w:val="single" w:color="auto" w:sz="4" w:space="0"/>
            </w:tcBorders>
            <w:vAlign w:val="center"/>
          </w:tcPr>
          <w:p w14:paraId="782F2F94">
            <w:pPr>
              <w:widowControl/>
              <w:jc w:val="center"/>
              <w:rPr>
                <w:rFonts w:hAnsi="宋体"/>
                <w:color w:val="auto"/>
                <w:sz w:val="21"/>
                <w:szCs w:val="21"/>
                <w:highlight w:val="none"/>
              </w:rPr>
            </w:pPr>
            <w:r>
              <w:rPr>
                <w:rFonts w:hAnsi="宋体"/>
                <w:color w:val="auto"/>
                <w:sz w:val="21"/>
                <w:szCs w:val="21"/>
                <w:highlight w:val="none"/>
              </w:rPr>
              <w:t>500L</w:t>
            </w:r>
          </w:p>
        </w:tc>
        <w:tc>
          <w:tcPr>
            <w:tcW w:w="532" w:type="dxa"/>
            <w:tcBorders>
              <w:top w:val="nil"/>
              <w:left w:val="nil"/>
              <w:bottom w:val="single" w:color="auto" w:sz="4" w:space="0"/>
              <w:right w:val="single" w:color="auto" w:sz="4" w:space="0"/>
            </w:tcBorders>
            <w:vAlign w:val="center"/>
          </w:tcPr>
          <w:p w14:paraId="1D928BD6">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DCAA801">
            <w:pPr>
              <w:widowControl/>
              <w:jc w:val="center"/>
              <w:rPr>
                <w:rFonts w:hAnsi="宋体"/>
                <w:color w:val="auto"/>
                <w:sz w:val="21"/>
                <w:szCs w:val="21"/>
                <w:highlight w:val="none"/>
              </w:rPr>
            </w:pPr>
            <w:r>
              <w:rPr>
                <w:rFonts w:hAnsi="宋体"/>
                <w:color w:val="auto"/>
                <w:sz w:val="21"/>
                <w:szCs w:val="21"/>
                <w:highlight w:val="none"/>
              </w:rPr>
              <w:t>TD-500</w:t>
            </w:r>
          </w:p>
        </w:tc>
        <w:tc>
          <w:tcPr>
            <w:tcW w:w="1143" w:type="dxa"/>
            <w:tcBorders>
              <w:top w:val="nil"/>
              <w:left w:val="nil"/>
              <w:bottom w:val="single" w:color="auto" w:sz="4" w:space="0"/>
              <w:right w:val="single" w:color="auto" w:sz="4" w:space="0"/>
            </w:tcBorders>
            <w:vAlign w:val="center"/>
          </w:tcPr>
          <w:p w14:paraId="52659DC6">
            <w:pPr>
              <w:widowControl/>
              <w:jc w:val="center"/>
              <w:rPr>
                <w:rFonts w:hAnsi="宋体"/>
                <w:color w:val="auto"/>
                <w:sz w:val="21"/>
                <w:szCs w:val="21"/>
                <w:highlight w:val="none"/>
              </w:rPr>
            </w:pPr>
            <w:r>
              <w:rPr>
                <w:rFonts w:hAnsi="宋体"/>
                <w:color w:val="auto"/>
                <w:sz w:val="21"/>
                <w:szCs w:val="21"/>
                <w:highlight w:val="none"/>
              </w:rPr>
              <w:t>南京同道</w:t>
            </w:r>
          </w:p>
        </w:tc>
        <w:tc>
          <w:tcPr>
            <w:tcW w:w="1424" w:type="dxa"/>
            <w:tcBorders>
              <w:top w:val="nil"/>
              <w:left w:val="nil"/>
              <w:bottom w:val="single" w:color="auto" w:sz="4" w:space="0"/>
              <w:right w:val="single" w:color="auto" w:sz="4" w:space="0"/>
            </w:tcBorders>
            <w:noWrap/>
            <w:vAlign w:val="center"/>
          </w:tcPr>
          <w:p w14:paraId="6D3E1E50">
            <w:pPr>
              <w:widowControl/>
              <w:jc w:val="center"/>
              <w:rPr>
                <w:rFonts w:hAnsi="宋体"/>
                <w:color w:val="auto"/>
                <w:sz w:val="21"/>
                <w:szCs w:val="21"/>
                <w:highlight w:val="none"/>
              </w:rPr>
            </w:pPr>
            <w:r>
              <w:rPr>
                <w:rFonts w:hAnsi="宋体"/>
                <w:color w:val="auto"/>
                <w:sz w:val="21"/>
                <w:szCs w:val="21"/>
                <w:highlight w:val="none"/>
              </w:rPr>
              <w:t>2016年8月</w:t>
            </w:r>
          </w:p>
        </w:tc>
        <w:tc>
          <w:tcPr>
            <w:tcW w:w="812" w:type="dxa"/>
            <w:tcBorders>
              <w:top w:val="nil"/>
              <w:left w:val="nil"/>
              <w:bottom w:val="single" w:color="auto" w:sz="4" w:space="0"/>
              <w:right w:val="single" w:color="auto" w:sz="4" w:space="0"/>
            </w:tcBorders>
            <w:vAlign w:val="center"/>
          </w:tcPr>
          <w:p w14:paraId="53719CB3">
            <w:pPr>
              <w:widowControl/>
              <w:jc w:val="center"/>
              <w:rPr>
                <w:rFonts w:hAnsi="宋体"/>
                <w:color w:val="auto"/>
                <w:sz w:val="21"/>
                <w:szCs w:val="21"/>
                <w:highlight w:val="none"/>
              </w:rPr>
            </w:pPr>
            <w:r>
              <w:rPr>
                <w:rFonts w:hAnsi="宋体"/>
                <w:color w:val="auto"/>
                <w:sz w:val="21"/>
                <w:szCs w:val="21"/>
                <w:highlight w:val="none"/>
              </w:rPr>
              <w:t>2</w:t>
            </w:r>
          </w:p>
        </w:tc>
      </w:tr>
      <w:tr w14:paraId="21298A2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C916517">
            <w:pPr>
              <w:widowControl/>
              <w:jc w:val="center"/>
              <w:rPr>
                <w:rFonts w:hAnsi="宋体"/>
                <w:color w:val="auto"/>
                <w:sz w:val="21"/>
                <w:szCs w:val="21"/>
                <w:highlight w:val="none"/>
              </w:rPr>
            </w:pPr>
            <w:r>
              <w:rPr>
                <w:rFonts w:hAnsi="宋体"/>
                <w:color w:val="auto"/>
                <w:sz w:val="21"/>
                <w:szCs w:val="21"/>
                <w:highlight w:val="none"/>
              </w:rPr>
              <w:t>49</w:t>
            </w:r>
          </w:p>
        </w:tc>
        <w:tc>
          <w:tcPr>
            <w:tcW w:w="958" w:type="dxa"/>
            <w:tcBorders>
              <w:top w:val="nil"/>
              <w:left w:val="nil"/>
              <w:bottom w:val="single" w:color="auto" w:sz="4" w:space="0"/>
              <w:right w:val="single" w:color="auto" w:sz="4" w:space="0"/>
            </w:tcBorders>
            <w:vAlign w:val="center"/>
          </w:tcPr>
          <w:p w14:paraId="384530AE">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5DCF9910">
            <w:pPr>
              <w:widowControl/>
              <w:jc w:val="center"/>
              <w:rPr>
                <w:rFonts w:hAnsi="宋体"/>
                <w:color w:val="auto"/>
                <w:sz w:val="21"/>
                <w:szCs w:val="21"/>
                <w:highlight w:val="none"/>
              </w:rPr>
            </w:pPr>
            <w:r>
              <w:rPr>
                <w:rFonts w:hAnsi="宋体"/>
                <w:color w:val="auto"/>
                <w:sz w:val="21"/>
                <w:szCs w:val="21"/>
                <w:highlight w:val="none"/>
              </w:rPr>
              <w:t>高压水力破除机</w:t>
            </w:r>
          </w:p>
        </w:tc>
        <w:tc>
          <w:tcPr>
            <w:tcW w:w="1347" w:type="dxa"/>
            <w:tcBorders>
              <w:top w:val="nil"/>
              <w:left w:val="nil"/>
              <w:bottom w:val="single" w:color="auto" w:sz="4" w:space="0"/>
              <w:right w:val="single" w:color="auto" w:sz="4" w:space="0"/>
            </w:tcBorders>
            <w:vAlign w:val="center"/>
          </w:tcPr>
          <w:p w14:paraId="0EDEA006">
            <w:pPr>
              <w:widowControl/>
              <w:jc w:val="center"/>
              <w:rPr>
                <w:rFonts w:hAnsi="宋体"/>
                <w:color w:val="auto"/>
                <w:sz w:val="21"/>
                <w:szCs w:val="21"/>
                <w:highlight w:val="none"/>
              </w:rPr>
            </w:pPr>
            <w:r>
              <w:rPr>
                <w:rFonts w:hAnsi="宋体"/>
                <w:color w:val="auto"/>
                <w:sz w:val="21"/>
                <w:szCs w:val="21"/>
                <w:highlight w:val="none"/>
              </w:rPr>
              <w:t>太仓应急(045)</w:t>
            </w:r>
          </w:p>
        </w:tc>
        <w:tc>
          <w:tcPr>
            <w:tcW w:w="1239" w:type="dxa"/>
            <w:tcBorders>
              <w:top w:val="nil"/>
              <w:left w:val="nil"/>
              <w:bottom w:val="single" w:color="auto" w:sz="4" w:space="0"/>
              <w:right w:val="single" w:color="auto" w:sz="4" w:space="0"/>
            </w:tcBorders>
            <w:vAlign w:val="center"/>
          </w:tcPr>
          <w:p w14:paraId="060A6354">
            <w:pPr>
              <w:widowControl/>
              <w:jc w:val="center"/>
              <w:rPr>
                <w:rFonts w:hAnsi="宋体"/>
                <w:color w:val="auto"/>
                <w:sz w:val="21"/>
                <w:szCs w:val="21"/>
                <w:highlight w:val="none"/>
              </w:rPr>
            </w:pPr>
            <w:r>
              <w:rPr>
                <w:rFonts w:hAnsi="宋体"/>
                <w:color w:val="auto"/>
                <w:sz w:val="21"/>
                <w:szCs w:val="21"/>
                <w:highlight w:val="none"/>
              </w:rPr>
              <w:t>功率22.8KW</w:t>
            </w:r>
          </w:p>
        </w:tc>
        <w:tc>
          <w:tcPr>
            <w:tcW w:w="532" w:type="dxa"/>
            <w:tcBorders>
              <w:top w:val="nil"/>
              <w:left w:val="nil"/>
              <w:bottom w:val="single" w:color="auto" w:sz="4" w:space="0"/>
              <w:right w:val="single" w:color="auto" w:sz="4" w:space="0"/>
            </w:tcBorders>
            <w:vAlign w:val="center"/>
          </w:tcPr>
          <w:p w14:paraId="5758CFCE">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13A47D5">
            <w:pPr>
              <w:widowControl/>
              <w:jc w:val="center"/>
              <w:rPr>
                <w:rFonts w:hAnsi="宋体"/>
                <w:color w:val="auto"/>
                <w:sz w:val="21"/>
                <w:szCs w:val="21"/>
                <w:highlight w:val="none"/>
              </w:rPr>
            </w:pPr>
            <w:r>
              <w:rPr>
                <w:rFonts w:hAnsi="宋体"/>
                <w:color w:val="auto"/>
                <w:sz w:val="21"/>
                <w:szCs w:val="21"/>
                <w:highlight w:val="none"/>
              </w:rPr>
              <w:t>B8001</w:t>
            </w:r>
          </w:p>
        </w:tc>
        <w:tc>
          <w:tcPr>
            <w:tcW w:w="1143" w:type="dxa"/>
            <w:tcBorders>
              <w:top w:val="nil"/>
              <w:left w:val="nil"/>
              <w:bottom w:val="single" w:color="auto" w:sz="4" w:space="0"/>
              <w:right w:val="single" w:color="auto" w:sz="4" w:space="0"/>
            </w:tcBorders>
            <w:vAlign w:val="center"/>
          </w:tcPr>
          <w:p w14:paraId="380A9AE2">
            <w:pPr>
              <w:widowControl/>
              <w:jc w:val="center"/>
              <w:rPr>
                <w:rFonts w:hAnsi="宋体"/>
                <w:color w:val="auto"/>
                <w:sz w:val="21"/>
                <w:szCs w:val="21"/>
                <w:highlight w:val="none"/>
              </w:rPr>
            </w:pPr>
            <w:r>
              <w:rPr>
                <w:rFonts w:hAnsi="宋体"/>
                <w:color w:val="auto"/>
                <w:sz w:val="21"/>
                <w:szCs w:val="21"/>
                <w:highlight w:val="none"/>
              </w:rPr>
              <w:t>上海法赫</w:t>
            </w:r>
          </w:p>
        </w:tc>
        <w:tc>
          <w:tcPr>
            <w:tcW w:w="1424" w:type="dxa"/>
            <w:tcBorders>
              <w:top w:val="nil"/>
              <w:left w:val="nil"/>
              <w:bottom w:val="single" w:color="auto" w:sz="4" w:space="0"/>
              <w:right w:val="single" w:color="auto" w:sz="4" w:space="0"/>
            </w:tcBorders>
            <w:noWrap/>
            <w:vAlign w:val="center"/>
          </w:tcPr>
          <w:p w14:paraId="3D054B43">
            <w:pPr>
              <w:widowControl/>
              <w:jc w:val="center"/>
              <w:rPr>
                <w:rFonts w:hAnsi="宋体"/>
                <w:color w:val="auto"/>
                <w:sz w:val="21"/>
                <w:szCs w:val="21"/>
                <w:highlight w:val="none"/>
              </w:rPr>
            </w:pPr>
            <w:r>
              <w:rPr>
                <w:rFonts w:hAnsi="宋体"/>
                <w:color w:val="auto"/>
                <w:sz w:val="21"/>
                <w:szCs w:val="21"/>
                <w:highlight w:val="none"/>
              </w:rPr>
              <w:t>2012年3月</w:t>
            </w:r>
          </w:p>
        </w:tc>
        <w:tc>
          <w:tcPr>
            <w:tcW w:w="812" w:type="dxa"/>
            <w:tcBorders>
              <w:top w:val="nil"/>
              <w:left w:val="nil"/>
              <w:bottom w:val="single" w:color="auto" w:sz="4" w:space="0"/>
              <w:right w:val="single" w:color="auto" w:sz="4" w:space="0"/>
            </w:tcBorders>
            <w:vAlign w:val="center"/>
          </w:tcPr>
          <w:p w14:paraId="1AD31BAA">
            <w:pPr>
              <w:widowControl/>
              <w:jc w:val="center"/>
              <w:rPr>
                <w:rFonts w:hAnsi="宋体"/>
                <w:color w:val="auto"/>
                <w:sz w:val="21"/>
                <w:szCs w:val="21"/>
                <w:highlight w:val="none"/>
              </w:rPr>
            </w:pPr>
            <w:r>
              <w:rPr>
                <w:rFonts w:hAnsi="宋体"/>
                <w:color w:val="auto"/>
                <w:sz w:val="21"/>
                <w:szCs w:val="21"/>
                <w:highlight w:val="none"/>
              </w:rPr>
              <w:t>2</w:t>
            </w:r>
          </w:p>
        </w:tc>
      </w:tr>
      <w:tr w14:paraId="51D52793">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772B685">
            <w:pPr>
              <w:widowControl/>
              <w:jc w:val="center"/>
              <w:rPr>
                <w:rFonts w:hAnsi="宋体"/>
                <w:color w:val="auto"/>
                <w:sz w:val="21"/>
                <w:szCs w:val="21"/>
                <w:highlight w:val="none"/>
              </w:rPr>
            </w:pPr>
            <w:r>
              <w:rPr>
                <w:rFonts w:hAnsi="宋体"/>
                <w:color w:val="auto"/>
                <w:sz w:val="21"/>
                <w:szCs w:val="21"/>
                <w:highlight w:val="none"/>
              </w:rPr>
              <w:t>50</w:t>
            </w:r>
          </w:p>
        </w:tc>
        <w:tc>
          <w:tcPr>
            <w:tcW w:w="958" w:type="dxa"/>
            <w:tcBorders>
              <w:top w:val="nil"/>
              <w:left w:val="nil"/>
              <w:bottom w:val="single" w:color="auto" w:sz="4" w:space="0"/>
              <w:right w:val="single" w:color="auto" w:sz="4" w:space="0"/>
            </w:tcBorders>
            <w:vAlign w:val="center"/>
          </w:tcPr>
          <w:p w14:paraId="0AE346CB">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6AD24897">
            <w:pPr>
              <w:widowControl/>
              <w:jc w:val="center"/>
              <w:rPr>
                <w:rFonts w:hAnsi="宋体"/>
                <w:color w:val="auto"/>
                <w:sz w:val="21"/>
                <w:szCs w:val="21"/>
                <w:highlight w:val="none"/>
              </w:rPr>
            </w:pPr>
            <w:r>
              <w:rPr>
                <w:rFonts w:hAnsi="宋体"/>
                <w:color w:val="auto"/>
                <w:sz w:val="21"/>
                <w:szCs w:val="21"/>
                <w:highlight w:val="none"/>
              </w:rPr>
              <w:t>电动叉车</w:t>
            </w:r>
          </w:p>
        </w:tc>
        <w:tc>
          <w:tcPr>
            <w:tcW w:w="1347" w:type="dxa"/>
            <w:tcBorders>
              <w:top w:val="nil"/>
              <w:left w:val="nil"/>
              <w:bottom w:val="single" w:color="auto" w:sz="4" w:space="0"/>
              <w:right w:val="single" w:color="auto" w:sz="4" w:space="0"/>
            </w:tcBorders>
            <w:vAlign w:val="center"/>
          </w:tcPr>
          <w:p w14:paraId="5C59FD65">
            <w:pPr>
              <w:widowControl/>
              <w:jc w:val="center"/>
              <w:rPr>
                <w:rFonts w:hAnsi="宋体"/>
                <w:color w:val="auto"/>
                <w:sz w:val="21"/>
                <w:szCs w:val="21"/>
                <w:highlight w:val="none"/>
              </w:rPr>
            </w:pPr>
            <w:r>
              <w:rPr>
                <w:rFonts w:hAnsi="宋体"/>
                <w:color w:val="auto"/>
                <w:sz w:val="21"/>
                <w:szCs w:val="21"/>
                <w:highlight w:val="none"/>
              </w:rPr>
              <w:t>太仓应急(046)</w:t>
            </w:r>
          </w:p>
        </w:tc>
        <w:tc>
          <w:tcPr>
            <w:tcW w:w="1239" w:type="dxa"/>
            <w:tcBorders>
              <w:top w:val="nil"/>
              <w:left w:val="nil"/>
              <w:bottom w:val="single" w:color="auto" w:sz="4" w:space="0"/>
              <w:right w:val="single" w:color="auto" w:sz="4" w:space="0"/>
            </w:tcBorders>
            <w:vAlign w:val="center"/>
          </w:tcPr>
          <w:p w14:paraId="2C803F6B">
            <w:pPr>
              <w:widowControl/>
              <w:jc w:val="center"/>
              <w:rPr>
                <w:rFonts w:hAnsi="宋体"/>
                <w:color w:val="auto"/>
                <w:sz w:val="21"/>
                <w:szCs w:val="21"/>
                <w:highlight w:val="none"/>
              </w:rPr>
            </w:pPr>
            <w:r>
              <w:rPr>
                <w:rFonts w:hAnsi="宋体"/>
                <w:color w:val="auto"/>
                <w:sz w:val="21"/>
                <w:szCs w:val="21"/>
                <w:highlight w:val="none"/>
              </w:rPr>
              <w:t>2T</w:t>
            </w:r>
          </w:p>
        </w:tc>
        <w:tc>
          <w:tcPr>
            <w:tcW w:w="532" w:type="dxa"/>
            <w:tcBorders>
              <w:top w:val="nil"/>
              <w:left w:val="nil"/>
              <w:bottom w:val="single" w:color="auto" w:sz="4" w:space="0"/>
              <w:right w:val="single" w:color="auto" w:sz="4" w:space="0"/>
            </w:tcBorders>
            <w:vAlign w:val="center"/>
          </w:tcPr>
          <w:p w14:paraId="3A75CFF8">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E64C49F">
            <w:pPr>
              <w:widowControl/>
              <w:jc w:val="center"/>
              <w:rPr>
                <w:rFonts w:hAnsi="宋体"/>
                <w:color w:val="auto"/>
                <w:sz w:val="21"/>
                <w:szCs w:val="21"/>
                <w:highlight w:val="none"/>
              </w:rPr>
            </w:pPr>
            <w:r>
              <w:rPr>
                <w:rFonts w:hAnsi="宋体"/>
                <w:color w:val="auto"/>
                <w:sz w:val="21"/>
                <w:szCs w:val="21"/>
                <w:highlight w:val="none"/>
              </w:rPr>
              <w:t>PTE20Q</w:t>
            </w:r>
          </w:p>
        </w:tc>
        <w:tc>
          <w:tcPr>
            <w:tcW w:w="1143" w:type="dxa"/>
            <w:tcBorders>
              <w:top w:val="nil"/>
              <w:left w:val="nil"/>
              <w:bottom w:val="single" w:color="auto" w:sz="4" w:space="0"/>
              <w:right w:val="single" w:color="auto" w:sz="4" w:space="0"/>
            </w:tcBorders>
            <w:vAlign w:val="center"/>
          </w:tcPr>
          <w:p w14:paraId="20918893">
            <w:pPr>
              <w:widowControl/>
              <w:jc w:val="center"/>
              <w:rPr>
                <w:rFonts w:hAnsi="宋体"/>
                <w:color w:val="auto"/>
                <w:sz w:val="21"/>
                <w:szCs w:val="21"/>
                <w:highlight w:val="none"/>
              </w:rPr>
            </w:pPr>
            <w:r>
              <w:rPr>
                <w:rFonts w:hAnsi="宋体"/>
                <w:color w:val="auto"/>
                <w:sz w:val="21"/>
                <w:szCs w:val="21"/>
                <w:highlight w:val="none"/>
              </w:rPr>
              <w:t>诺力</w:t>
            </w:r>
          </w:p>
        </w:tc>
        <w:tc>
          <w:tcPr>
            <w:tcW w:w="1424" w:type="dxa"/>
            <w:tcBorders>
              <w:top w:val="nil"/>
              <w:left w:val="nil"/>
              <w:bottom w:val="single" w:color="auto" w:sz="4" w:space="0"/>
              <w:right w:val="single" w:color="auto" w:sz="4" w:space="0"/>
            </w:tcBorders>
            <w:noWrap/>
            <w:vAlign w:val="center"/>
          </w:tcPr>
          <w:p w14:paraId="58B00988">
            <w:pPr>
              <w:widowControl/>
              <w:jc w:val="center"/>
              <w:rPr>
                <w:rFonts w:hAnsi="宋体"/>
                <w:color w:val="auto"/>
                <w:sz w:val="21"/>
                <w:szCs w:val="21"/>
                <w:highlight w:val="none"/>
              </w:rPr>
            </w:pPr>
            <w:r>
              <w:rPr>
                <w:rFonts w:hAnsi="宋体"/>
                <w:color w:val="auto"/>
                <w:sz w:val="21"/>
                <w:szCs w:val="21"/>
                <w:highlight w:val="none"/>
              </w:rPr>
              <w:t>2022年2月</w:t>
            </w:r>
          </w:p>
        </w:tc>
        <w:tc>
          <w:tcPr>
            <w:tcW w:w="812" w:type="dxa"/>
            <w:tcBorders>
              <w:top w:val="nil"/>
              <w:left w:val="nil"/>
              <w:bottom w:val="single" w:color="auto" w:sz="4" w:space="0"/>
              <w:right w:val="single" w:color="auto" w:sz="4" w:space="0"/>
            </w:tcBorders>
            <w:vAlign w:val="center"/>
          </w:tcPr>
          <w:p w14:paraId="00A7AE47">
            <w:pPr>
              <w:widowControl/>
              <w:jc w:val="center"/>
              <w:rPr>
                <w:rFonts w:hAnsi="宋体"/>
                <w:color w:val="auto"/>
                <w:sz w:val="21"/>
                <w:szCs w:val="21"/>
                <w:highlight w:val="none"/>
              </w:rPr>
            </w:pPr>
            <w:r>
              <w:rPr>
                <w:rFonts w:hAnsi="宋体"/>
                <w:color w:val="auto"/>
                <w:sz w:val="21"/>
                <w:szCs w:val="21"/>
                <w:highlight w:val="none"/>
              </w:rPr>
              <w:t>2</w:t>
            </w:r>
          </w:p>
        </w:tc>
      </w:tr>
      <w:tr w14:paraId="00A9729C">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1D666CBF">
            <w:pPr>
              <w:widowControl/>
              <w:jc w:val="center"/>
              <w:rPr>
                <w:rFonts w:hAnsi="宋体"/>
                <w:color w:val="auto"/>
                <w:sz w:val="21"/>
                <w:szCs w:val="21"/>
                <w:highlight w:val="none"/>
              </w:rPr>
            </w:pPr>
            <w:r>
              <w:rPr>
                <w:rFonts w:hAnsi="宋体"/>
                <w:color w:val="auto"/>
                <w:sz w:val="21"/>
                <w:szCs w:val="21"/>
                <w:highlight w:val="none"/>
              </w:rPr>
              <w:t>51</w:t>
            </w:r>
          </w:p>
        </w:tc>
        <w:tc>
          <w:tcPr>
            <w:tcW w:w="958" w:type="dxa"/>
            <w:tcBorders>
              <w:top w:val="nil"/>
              <w:left w:val="nil"/>
              <w:bottom w:val="single" w:color="auto" w:sz="4" w:space="0"/>
              <w:right w:val="single" w:color="auto" w:sz="4" w:space="0"/>
            </w:tcBorders>
            <w:vAlign w:val="center"/>
          </w:tcPr>
          <w:p w14:paraId="4F15A6BC">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0CE23F3B">
            <w:pPr>
              <w:widowControl/>
              <w:jc w:val="center"/>
              <w:rPr>
                <w:rFonts w:hAnsi="宋体"/>
                <w:color w:val="auto"/>
                <w:sz w:val="21"/>
                <w:szCs w:val="21"/>
                <w:highlight w:val="none"/>
              </w:rPr>
            </w:pPr>
            <w:r>
              <w:rPr>
                <w:rFonts w:hAnsi="宋体"/>
                <w:color w:val="auto"/>
                <w:sz w:val="21"/>
                <w:szCs w:val="21"/>
                <w:highlight w:val="none"/>
              </w:rPr>
              <w:t>信号指示牌</w:t>
            </w:r>
          </w:p>
        </w:tc>
        <w:tc>
          <w:tcPr>
            <w:tcW w:w="1347" w:type="dxa"/>
            <w:tcBorders>
              <w:top w:val="nil"/>
              <w:left w:val="nil"/>
              <w:bottom w:val="single" w:color="auto" w:sz="4" w:space="0"/>
              <w:right w:val="single" w:color="auto" w:sz="4" w:space="0"/>
            </w:tcBorders>
            <w:vAlign w:val="center"/>
          </w:tcPr>
          <w:p w14:paraId="75D546BB">
            <w:pPr>
              <w:widowControl/>
              <w:jc w:val="center"/>
              <w:rPr>
                <w:rFonts w:hAnsi="宋体"/>
                <w:color w:val="auto"/>
                <w:sz w:val="21"/>
                <w:szCs w:val="21"/>
                <w:highlight w:val="none"/>
              </w:rPr>
            </w:pPr>
            <w:r>
              <w:rPr>
                <w:rFonts w:hAnsi="宋体"/>
                <w:color w:val="auto"/>
                <w:sz w:val="21"/>
                <w:szCs w:val="21"/>
                <w:highlight w:val="none"/>
              </w:rPr>
              <w:t>太仓应急(047)</w:t>
            </w:r>
          </w:p>
        </w:tc>
        <w:tc>
          <w:tcPr>
            <w:tcW w:w="1239" w:type="dxa"/>
            <w:tcBorders>
              <w:top w:val="nil"/>
              <w:left w:val="nil"/>
              <w:bottom w:val="single" w:color="auto" w:sz="4" w:space="0"/>
              <w:right w:val="single" w:color="auto" w:sz="4" w:space="0"/>
            </w:tcBorders>
            <w:vAlign w:val="center"/>
          </w:tcPr>
          <w:p w14:paraId="1FC3ED67">
            <w:pPr>
              <w:widowControl/>
              <w:jc w:val="center"/>
              <w:rPr>
                <w:rFonts w:hAnsi="宋体"/>
                <w:color w:val="auto"/>
                <w:sz w:val="21"/>
                <w:szCs w:val="21"/>
                <w:highlight w:val="none"/>
              </w:rPr>
            </w:pPr>
            <w:r>
              <w:rPr>
                <w:rFonts w:hAnsi="宋体"/>
                <w:color w:val="auto"/>
                <w:sz w:val="21"/>
                <w:szCs w:val="21"/>
                <w:highlight w:val="none"/>
              </w:rPr>
              <w:t>可见距离≥200m</w:t>
            </w:r>
          </w:p>
        </w:tc>
        <w:tc>
          <w:tcPr>
            <w:tcW w:w="532" w:type="dxa"/>
            <w:tcBorders>
              <w:top w:val="nil"/>
              <w:left w:val="nil"/>
              <w:bottom w:val="single" w:color="auto" w:sz="4" w:space="0"/>
              <w:right w:val="single" w:color="auto" w:sz="4" w:space="0"/>
            </w:tcBorders>
            <w:vAlign w:val="center"/>
          </w:tcPr>
          <w:p w14:paraId="2E509E67">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136A9C8B">
            <w:pPr>
              <w:widowControl/>
              <w:jc w:val="center"/>
              <w:rPr>
                <w:rFonts w:hAnsi="宋体"/>
                <w:color w:val="auto"/>
                <w:sz w:val="21"/>
                <w:szCs w:val="21"/>
                <w:highlight w:val="none"/>
              </w:rPr>
            </w:pPr>
            <w:r>
              <w:rPr>
                <w:rFonts w:hAnsi="宋体"/>
                <w:color w:val="auto"/>
                <w:sz w:val="21"/>
                <w:szCs w:val="21"/>
                <w:highlight w:val="none"/>
              </w:rPr>
              <w:t>RS-1200</w:t>
            </w:r>
          </w:p>
        </w:tc>
        <w:tc>
          <w:tcPr>
            <w:tcW w:w="1143" w:type="dxa"/>
            <w:tcBorders>
              <w:top w:val="nil"/>
              <w:left w:val="nil"/>
              <w:bottom w:val="single" w:color="auto" w:sz="4" w:space="0"/>
              <w:right w:val="single" w:color="auto" w:sz="4" w:space="0"/>
            </w:tcBorders>
            <w:vAlign w:val="center"/>
          </w:tcPr>
          <w:p w14:paraId="468644A3">
            <w:pPr>
              <w:widowControl/>
              <w:jc w:val="center"/>
              <w:rPr>
                <w:rFonts w:hAnsi="宋体"/>
                <w:color w:val="auto"/>
                <w:sz w:val="21"/>
                <w:szCs w:val="21"/>
                <w:highlight w:val="none"/>
              </w:rPr>
            </w:pPr>
            <w:r>
              <w:rPr>
                <w:rFonts w:hAnsi="宋体"/>
                <w:color w:val="auto"/>
                <w:sz w:val="21"/>
                <w:szCs w:val="21"/>
                <w:highlight w:val="none"/>
              </w:rPr>
              <w:t>道恩</w:t>
            </w:r>
          </w:p>
        </w:tc>
        <w:tc>
          <w:tcPr>
            <w:tcW w:w="1424" w:type="dxa"/>
            <w:tcBorders>
              <w:top w:val="nil"/>
              <w:left w:val="nil"/>
              <w:bottom w:val="single" w:color="auto" w:sz="4" w:space="0"/>
              <w:right w:val="single" w:color="auto" w:sz="4" w:space="0"/>
            </w:tcBorders>
            <w:noWrap/>
            <w:vAlign w:val="center"/>
          </w:tcPr>
          <w:p w14:paraId="6CE31FDA">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45786462">
            <w:pPr>
              <w:widowControl/>
              <w:jc w:val="center"/>
              <w:rPr>
                <w:rFonts w:hAnsi="宋体"/>
                <w:color w:val="auto"/>
                <w:sz w:val="21"/>
                <w:szCs w:val="21"/>
                <w:highlight w:val="none"/>
              </w:rPr>
            </w:pPr>
            <w:r>
              <w:rPr>
                <w:rFonts w:hAnsi="宋体"/>
                <w:color w:val="auto"/>
                <w:sz w:val="21"/>
                <w:szCs w:val="21"/>
                <w:highlight w:val="none"/>
              </w:rPr>
              <w:t>2</w:t>
            </w:r>
          </w:p>
        </w:tc>
      </w:tr>
      <w:tr w14:paraId="0C5C3972">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22366FEE">
            <w:pPr>
              <w:widowControl/>
              <w:jc w:val="center"/>
              <w:rPr>
                <w:rFonts w:hAnsi="宋体"/>
                <w:color w:val="auto"/>
                <w:sz w:val="21"/>
                <w:szCs w:val="21"/>
                <w:highlight w:val="none"/>
              </w:rPr>
            </w:pPr>
            <w:r>
              <w:rPr>
                <w:rFonts w:hAnsi="宋体"/>
                <w:color w:val="auto"/>
                <w:sz w:val="21"/>
                <w:szCs w:val="21"/>
                <w:highlight w:val="none"/>
              </w:rPr>
              <w:t>52</w:t>
            </w:r>
          </w:p>
        </w:tc>
        <w:tc>
          <w:tcPr>
            <w:tcW w:w="958" w:type="dxa"/>
            <w:tcBorders>
              <w:top w:val="nil"/>
              <w:left w:val="nil"/>
              <w:bottom w:val="single" w:color="auto" w:sz="4" w:space="0"/>
              <w:right w:val="single" w:color="auto" w:sz="4" w:space="0"/>
            </w:tcBorders>
            <w:vAlign w:val="center"/>
          </w:tcPr>
          <w:p w14:paraId="010B5D35">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7E4CAF65">
            <w:pPr>
              <w:widowControl/>
              <w:jc w:val="center"/>
              <w:rPr>
                <w:rFonts w:hAnsi="宋体"/>
                <w:color w:val="auto"/>
                <w:sz w:val="21"/>
                <w:szCs w:val="21"/>
                <w:highlight w:val="none"/>
              </w:rPr>
            </w:pPr>
            <w:r>
              <w:rPr>
                <w:rFonts w:hAnsi="宋体"/>
                <w:color w:val="auto"/>
                <w:sz w:val="21"/>
                <w:szCs w:val="21"/>
                <w:highlight w:val="none"/>
              </w:rPr>
              <w:t>信号指示牌</w:t>
            </w:r>
          </w:p>
        </w:tc>
        <w:tc>
          <w:tcPr>
            <w:tcW w:w="1347" w:type="dxa"/>
            <w:tcBorders>
              <w:top w:val="nil"/>
              <w:left w:val="nil"/>
              <w:bottom w:val="single" w:color="auto" w:sz="4" w:space="0"/>
              <w:right w:val="single" w:color="auto" w:sz="4" w:space="0"/>
            </w:tcBorders>
            <w:vAlign w:val="center"/>
          </w:tcPr>
          <w:p w14:paraId="451A10E7">
            <w:pPr>
              <w:widowControl/>
              <w:jc w:val="center"/>
              <w:rPr>
                <w:rFonts w:hAnsi="宋体"/>
                <w:color w:val="auto"/>
                <w:sz w:val="21"/>
                <w:szCs w:val="21"/>
                <w:highlight w:val="none"/>
              </w:rPr>
            </w:pPr>
            <w:r>
              <w:rPr>
                <w:rFonts w:hAnsi="宋体"/>
                <w:color w:val="auto"/>
                <w:sz w:val="21"/>
                <w:szCs w:val="21"/>
                <w:highlight w:val="none"/>
              </w:rPr>
              <w:t>太仓应急(048)</w:t>
            </w:r>
          </w:p>
        </w:tc>
        <w:tc>
          <w:tcPr>
            <w:tcW w:w="1239" w:type="dxa"/>
            <w:tcBorders>
              <w:top w:val="nil"/>
              <w:left w:val="nil"/>
              <w:bottom w:val="single" w:color="auto" w:sz="4" w:space="0"/>
              <w:right w:val="single" w:color="auto" w:sz="4" w:space="0"/>
            </w:tcBorders>
            <w:vAlign w:val="center"/>
          </w:tcPr>
          <w:p w14:paraId="5EA6AEA3">
            <w:pPr>
              <w:widowControl/>
              <w:jc w:val="center"/>
              <w:rPr>
                <w:rFonts w:hAnsi="宋体"/>
                <w:color w:val="auto"/>
                <w:sz w:val="21"/>
                <w:szCs w:val="21"/>
                <w:highlight w:val="none"/>
              </w:rPr>
            </w:pPr>
            <w:r>
              <w:rPr>
                <w:rFonts w:hAnsi="宋体"/>
                <w:color w:val="auto"/>
                <w:sz w:val="21"/>
                <w:szCs w:val="21"/>
                <w:highlight w:val="none"/>
              </w:rPr>
              <w:t>可见距离≥200m</w:t>
            </w:r>
          </w:p>
        </w:tc>
        <w:tc>
          <w:tcPr>
            <w:tcW w:w="532" w:type="dxa"/>
            <w:tcBorders>
              <w:top w:val="nil"/>
              <w:left w:val="nil"/>
              <w:bottom w:val="single" w:color="auto" w:sz="4" w:space="0"/>
              <w:right w:val="single" w:color="auto" w:sz="4" w:space="0"/>
            </w:tcBorders>
            <w:vAlign w:val="center"/>
          </w:tcPr>
          <w:p w14:paraId="1F7BCF45">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6AD89E2E">
            <w:pPr>
              <w:widowControl/>
              <w:jc w:val="center"/>
              <w:rPr>
                <w:rFonts w:hAnsi="宋体"/>
                <w:color w:val="auto"/>
                <w:sz w:val="21"/>
                <w:szCs w:val="21"/>
                <w:highlight w:val="none"/>
              </w:rPr>
            </w:pPr>
            <w:r>
              <w:rPr>
                <w:rFonts w:hAnsi="宋体"/>
                <w:color w:val="auto"/>
                <w:sz w:val="21"/>
                <w:szCs w:val="21"/>
                <w:highlight w:val="none"/>
              </w:rPr>
              <w:t>RS-1200</w:t>
            </w:r>
          </w:p>
        </w:tc>
        <w:tc>
          <w:tcPr>
            <w:tcW w:w="1143" w:type="dxa"/>
            <w:tcBorders>
              <w:top w:val="nil"/>
              <w:left w:val="nil"/>
              <w:bottom w:val="single" w:color="auto" w:sz="4" w:space="0"/>
              <w:right w:val="single" w:color="auto" w:sz="4" w:space="0"/>
            </w:tcBorders>
            <w:vAlign w:val="center"/>
          </w:tcPr>
          <w:p w14:paraId="2AACA3EA">
            <w:pPr>
              <w:widowControl/>
              <w:jc w:val="center"/>
              <w:rPr>
                <w:rFonts w:hAnsi="宋体"/>
                <w:color w:val="auto"/>
                <w:sz w:val="21"/>
                <w:szCs w:val="21"/>
                <w:highlight w:val="none"/>
              </w:rPr>
            </w:pPr>
            <w:r>
              <w:rPr>
                <w:rFonts w:hAnsi="宋体"/>
                <w:color w:val="auto"/>
                <w:sz w:val="21"/>
                <w:szCs w:val="21"/>
                <w:highlight w:val="none"/>
              </w:rPr>
              <w:t>道恩</w:t>
            </w:r>
          </w:p>
        </w:tc>
        <w:tc>
          <w:tcPr>
            <w:tcW w:w="1424" w:type="dxa"/>
            <w:tcBorders>
              <w:top w:val="nil"/>
              <w:left w:val="nil"/>
              <w:bottom w:val="single" w:color="auto" w:sz="4" w:space="0"/>
              <w:right w:val="single" w:color="auto" w:sz="4" w:space="0"/>
            </w:tcBorders>
            <w:noWrap/>
            <w:vAlign w:val="center"/>
          </w:tcPr>
          <w:p w14:paraId="01AB13B0">
            <w:pPr>
              <w:widowControl/>
              <w:jc w:val="center"/>
              <w:rPr>
                <w:rFonts w:hAnsi="宋体"/>
                <w:color w:val="auto"/>
                <w:sz w:val="21"/>
                <w:szCs w:val="21"/>
                <w:highlight w:val="none"/>
              </w:rPr>
            </w:pPr>
            <w:r>
              <w:rPr>
                <w:rFonts w:hAnsi="宋体"/>
                <w:color w:val="auto"/>
                <w:sz w:val="21"/>
                <w:szCs w:val="21"/>
                <w:highlight w:val="none"/>
              </w:rPr>
              <w:t>2015年4月</w:t>
            </w:r>
          </w:p>
        </w:tc>
        <w:tc>
          <w:tcPr>
            <w:tcW w:w="812" w:type="dxa"/>
            <w:tcBorders>
              <w:top w:val="nil"/>
              <w:left w:val="nil"/>
              <w:bottom w:val="single" w:color="auto" w:sz="4" w:space="0"/>
              <w:right w:val="single" w:color="auto" w:sz="4" w:space="0"/>
            </w:tcBorders>
            <w:vAlign w:val="center"/>
          </w:tcPr>
          <w:p w14:paraId="6210DE47">
            <w:pPr>
              <w:widowControl/>
              <w:jc w:val="center"/>
              <w:rPr>
                <w:rFonts w:hAnsi="宋体"/>
                <w:color w:val="auto"/>
                <w:sz w:val="21"/>
                <w:szCs w:val="21"/>
                <w:highlight w:val="none"/>
              </w:rPr>
            </w:pPr>
            <w:r>
              <w:rPr>
                <w:rFonts w:hAnsi="宋体"/>
                <w:color w:val="auto"/>
                <w:sz w:val="21"/>
                <w:szCs w:val="21"/>
                <w:highlight w:val="none"/>
              </w:rPr>
              <w:t>2</w:t>
            </w:r>
          </w:p>
        </w:tc>
      </w:tr>
      <w:tr w14:paraId="24B3C05F">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F283BEC">
            <w:pPr>
              <w:widowControl/>
              <w:jc w:val="center"/>
              <w:rPr>
                <w:rFonts w:hAnsi="宋体"/>
                <w:color w:val="auto"/>
                <w:sz w:val="21"/>
                <w:szCs w:val="21"/>
                <w:highlight w:val="none"/>
              </w:rPr>
            </w:pPr>
            <w:r>
              <w:rPr>
                <w:rFonts w:hAnsi="宋体"/>
                <w:color w:val="auto"/>
                <w:sz w:val="21"/>
                <w:szCs w:val="21"/>
                <w:highlight w:val="none"/>
              </w:rPr>
              <w:t>53</w:t>
            </w:r>
          </w:p>
        </w:tc>
        <w:tc>
          <w:tcPr>
            <w:tcW w:w="958" w:type="dxa"/>
            <w:tcBorders>
              <w:top w:val="nil"/>
              <w:left w:val="nil"/>
              <w:bottom w:val="single" w:color="auto" w:sz="4" w:space="0"/>
              <w:right w:val="single" w:color="auto" w:sz="4" w:space="0"/>
            </w:tcBorders>
            <w:vAlign w:val="center"/>
          </w:tcPr>
          <w:p w14:paraId="22186E48">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713A2313">
            <w:pPr>
              <w:widowControl/>
              <w:jc w:val="center"/>
              <w:rPr>
                <w:rFonts w:hAnsi="宋体"/>
                <w:color w:val="auto"/>
                <w:sz w:val="21"/>
                <w:szCs w:val="21"/>
                <w:highlight w:val="none"/>
              </w:rPr>
            </w:pPr>
            <w:r>
              <w:rPr>
                <w:rFonts w:hAnsi="宋体"/>
                <w:color w:val="auto"/>
                <w:sz w:val="21"/>
                <w:szCs w:val="21"/>
                <w:highlight w:val="none"/>
              </w:rPr>
              <w:t>清洗机</w:t>
            </w:r>
          </w:p>
        </w:tc>
        <w:tc>
          <w:tcPr>
            <w:tcW w:w="1347" w:type="dxa"/>
            <w:tcBorders>
              <w:top w:val="nil"/>
              <w:left w:val="nil"/>
              <w:bottom w:val="single" w:color="auto" w:sz="4" w:space="0"/>
              <w:right w:val="single" w:color="auto" w:sz="4" w:space="0"/>
            </w:tcBorders>
            <w:vAlign w:val="center"/>
          </w:tcPr>
          <w:p w14:paraId="77AA00DF">
            <w:pPr>
              <w:widowControl/>
              <w:jc w:val="center"/>
              <w:rPr>
                <w:rFonts w:hAnsi="宋体"/>
                <w:color w:val="auto"/>
                <w:sz w:val="21"/>
                <w:szCs w:val="21"/>
                <w:highlight w:val="none"/>
              </w:rPr>
            </w:pPr>
            <w:r>
              <w:rPr>
                <w:rFonts w:hAnsi="宋体"/>
                <w:color w:val="auto"/>
                <w:sz w:val="21"/>
                <w:szCs w:val="21"/>
                <w:highlight w:val="none"/>
              </w:rPr>
              <w:t>太仓应急(049)</w:t>
            </w:r>
          </w:p>
        </w:tc>
        <w:tc>
          <w:tcPr>
            <w:tcW w:w="1239" w:type="dxa"/>
            <w:tcBorders>
              <w:top w:val="nil"/>
              <w:left w:val="nil"/>
              <w:bottom w:val="single" w:color="auto" w:sz="4" w:space="0"/>
              <w:right w:val="single" w:color="auto" w:sz="4" w:space="0"/>
            </w:tcBorders>
            <w:vAlign w:val="center"/>
          </w:tcPr>
          <w:p w14:paraId="7101FC7A">
            <w:pPr>
              <w:widowControl/>
              <w:jc w:val="center"/>
              <w:rPr>
                <w:rFonts w:hAnsi="宋体"/>
                <w:color w:val="auto"/>
                <w:sz w:val="21"/>
                <w:szCs w:val="21"/>
                <w:highlight w:val="none"/>
              </w:rPr>
            </w:pPr>
            <w:r>
              <w:rPr>
                <w:rFonts w:hAnsi="宋体"/>
                <w:color w:val="auto"/>
                <w:sz w:val="21"/>
                <w:szCs w:val="21"/>
                <w:highlight w:val="none"/>
              </w:rPr>
              <w:t>功率9.2KW</w:t>
            </w:r>
          </w:p>
        </w:tc>
        <w:tc>
          <w:tcPr>
            <w:tcW w:w="532" w:type="dxa"/>
            <w:tcBorders>
              <w:top w:val="nil"/>
              <w:left w:val="nil"/>
              <w:bottom w:val="single" w:color="auto" w:sz="4" w:space="0"/>
              <w:right w:val="single" w:color="auto" w:sz="4" w:space="0"/>
            </w:tcBorders>
            <w:vAlign w:val="center"/>
          </w:tcPr>
          <w:p w14:paraId="3A20DB64">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4D38A069">
            <w:pPr>
              <w:widowControl/>
              <w:jc w:val="center"/>
              <w:rPr>
                <w:rFonts w:hAnsi="宋体"/>
                <w:color w:val="auto"/>
                <w:sz w:val="21"/>
                <w:szCs w:val="21"/>
                <w:highlight w:val="none"/>
              </w:rPr>
            </w:pPr>
            <w:r>
              <w:rPr>
                <w:rFonts w:hAnsi="宋体"/>
                <w:color w:val="auto"/>
                <w:sz w:val="21"/>
                <w:szCs w:val="21"/>
                <w:highlight w:val="none"/>
              </w:rPr>
              <w:t>HD10/25C</w:t>
            </w:r>
          </w:p>
        </w:tc>
        <w:tc>
          <w:tcPr>
            <w:tcW w:w="1143" w:type="dxa"/>
            <w:tcBorders>
              <w:top w:val="nil"/>
              <w:left w:val="nil"/>
              <w:bottom w:val="single" w:color="auto" w:sz="4" w:space="0"/>
              <w:right w:val="single" w:color="auto" w:sz="4" w:space="0"/>
            </w:tcBorders>
            <w:vAlign w:val="center"/>
          </w:tcPr>
          <w:p w14:paraId="23400B72">
            <w:pPr>
              <w:widowControl/>
              <w:jc w:val="center"/>
              <w:rPr>
                <w:rFonts w:hAnsi="宋体"/>
                <w:color w:val="auto"/>
                <w:sz w:val="21"/>
                <w:szCs w:val="21"/>
                <w:highlight w:val="none"/>
              </w:rPr>
            </w:pPr>
            <w:r>
              <w:rPr>
                <w:rFonts w:hAnsi="宋体"/>
                <w:color w:val="auto"/>
                <w:sz w:val="21"/>
                <w:szCs w:val="21"/>
                <w:highlight w:val="none"/>
              </w:rPr>
              <w:t>德国凯驰</w:t>
            </w:r>
          </w:p>
        </w:tc>
        <w:tc>
          <w:tcPr>
            <w:tcW w:w="1424" w:type="dxa"/>
            <w:tcBorders>
              <w:top w:val="nil"/>
              <w:left w:val="nil"/>
              <w:bottom w:val="single" w:color="auto" w:sz="4" w:space="0"/>
              <w:right w:val="single" w:color="auto" w:sz="4" w:space="0"/>
            </w:tcBorders>
            <w:noWrap/>
            <w:vAlign w:val="center"/>
          </w:tcPr>
          <w:p w14:paraId="55247846">
            <w:pPr>
              <w:widowControl/>
              <w:jc w:val="center"/>
              <w:rPr>
                <w:rFonts w:hAnsi="宋体"/>
                <w:color w:val="auto"/>
                <w:sz w:val="21"/>
                <w:szCs w:val="21"/>
                <w:highlight w:val="none"/>
              </w:rPr>
            </w:pPr>
            <w:r>
              <w:rPr>
                <w:rFonts w:hAnsi="宋体"/>
                <w:color w:val="auto"/>
                <w:sz w:val="21"/>
                <w:szCs w:val="21"/>
                <w:highlight w:val="none"/>
              </w:rPr>
              <w:t>2014年1月</w:t>
            </w:r>
          </w:p>
        </w:tc>
        <w:tc>
          <w:tcPr>
            <w:tcW w:w="812" w:type="dxa"/>
            <w:tcBorders>
              <w:top w:val="nil"/>
              <w:left w:val="nil"/>
              <w:bottom w:val="single" w:color="auto" w:sz="4" w:space="0"/>
              <w:right w:val="single" w:color="auto" w:sz="4" w:space="0"/>
            </w:tcBorders>
            <w:vAlign w:val="center"/>
          </w:tcPr>
          <w:p w14:paraId="48EE11D8">
            <w:pPr>
              <w:widowControl/>
              <w:jc w:val="center"/>
              <w:rPr>
                <w:rFonts w:hAnsi="宋体"/>
                <w:color w:val="auto"/>
                <w:sz w:val="21"/>
                <w:szCs w:val="21"/>
                <w:highlight w:val="none"/>
              </w:rPr>
            </w:pPr>
            <w:r>
              <w:rPr>
                <w:rFonts w:hAnsi="宋体"/>
                <w:color w:val="auto"/>
                <w:sz w:val="21"/>
                <w:szCs w:val="21"/>
                <w:highlight w:val="none"/>
              </w:rPr>
              <w:t>4</w:t>
            </w:r>
          </w:p>
        </w:tc>
      </w:tr>
      <w:tr w14:paraId="37256E1D">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4D15CD42">
            <w:pPr>
              <w:widowControl/>
              <w:jc w:val="center"/>
              <w:rPr>
                <w:rFonts w:hAnsi="宋体"/>
                <w:color w:val="auto"/>
                <w:sz w:val="21"/>
                <w:szCs w:val="21"/>
                <w:highlight w:val="none"/>
              </w:rPr>
            </w:pPr>
            <w:r>
              <w:rPr>
                <w:rFonts w:hAnsi="宋体"/>
                <w:color w:val="auto"/>
                <w:sz w:val="21"/>
                <w:szCs w:val="21"/>
                <w:highlight w:val="none"/>
              </w:rPr>
              <w:t>54</w:t>
            </w:r>
          </w:p>
        </w:tc>
        <w:tc>
          <w:tcPr>
            <w:tcW w:w="958" w:type="dxa"/>
            <w:tcBorders>
              <w:top w:val="nil"/>
              <w:left w:val="nil"/>
              <w:bottom w:val="single" w:color="auto" w:sz="4" w:space="0"/>
              <w:right w:val="single" w:color="auto" w:sz="4" w:space="0"/>
            </w:tcBorders>
            <w:vAlign w:val="center"/>
          </w:tcPr>
          <w:p w14:paraId="305B75BB">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2F64833A">
            <w:pPr>
              <w:widowControl/>
              <w:jc w:val="center"/>
              <w:rPr>
                <w:rFonts w:hAnsi="宋体"/>
                <w:color w:val="auto"/>
                <w:sz w:val="21"/>
                <w:szCs w:val="21"/>
                <w:highlight w:val="none"/>
              </w:rPr>
            </w:pPr>
            <w:r>
              <w:rPr>
                <w:rFonts w:hAnsi="宋体"/>
                <w:color w:val="auto"/>
                <w:sz w:val="21"/>
                <w:szCs w:val="21"/>
                <w:highlight w:val="none"/>
              </w:rPr>
              <w:t>清洗机</w:t>
            </w:r>
          </w:p>
        </w:tc>
        <w:tc>
          <w:tcPr>
            <w:tcW w:w="1347" w:type="dxa"/>
            <w:tcBorders>
              <w:top w:val="nil"/>
              <w:left w:val="nil"/>
              <w:bottom w:val="single" w:color="auto" w:sz="4" w:space="0"/>
              <w:right w:val="single" w:color="auto" w:sz="4" w:space="0"/>
            </w:tcBorders>
            <w:vAlign w:val="center"/>
          </w:tcPr>
          <w:p w14:paraId="6CE752C9">
            <w:pPr>
              <w:widowControl/>
              <w:jc w:val="center"/>
              <w:rPr>
                <w:rFonts w:hAnsi="宋体"/>
                <w:color w:val="auto"/>
                <w:sz w:val="21"/>
                <w:szCs w:val="21"/>
                <w:highlight w:val="none"/>
              </w:rPr>
            </w:pPr>
            <w:r>
              <w:rPr>
                <w:rFonts w:hAnsi="宋体"/>
                <w:color w:val="auto"/>
                <w:sz w:val="21"/>
                <w:szCs w:val="21"/>
                <w:highlight w:val="none"/>
              </w:rPr>
              <w:t>太仓应急(050)</w:t>
            </w:r>
          </w:p>
        </w:tc>
        <w:tc>
          <w:tcPr>
            <w:tcW w:w="1239" w:type="dxa"/>
            <w:tcBorders>
              <w:top w:val="nil"/>
              <w:left w:val="nil"/>
              <w:bottom w:val="single" w:color="auto" w:sz="4" w:space="0"/>
              <w:right w:val="single" w:color="auto" w:sz="4" w:space="0"/>
            </w:tcBorders>
            <w:vAlign w:val="center"/>
          </w:tcPr>
          <w:p w14:paraId="0A2E83BA">
            <w:pPr>
              <w:widowControl/>
              <w:jc w:val="center"/>
              <w:rPr>
                <w:rFonts w:hAnsi="宋体"/>
                <w:color w:val="auto"/>
                <w:sz w:val="21"/>
                <w:szCs w:val="21"/>
                <w:highlight w:val="none"/>
              </w:rPr>
            </w:pPr>
            <w:r>
              <w:rPr>
                <w:rFonts w:hAnsi="宋体"/>
                <w:color w:val="auto"/>
                <w:sz w:val="21"/>
                <w:szCs w:val="21"/>
                <w:highlight w:val="none"/>
              </w:rPr>
              <w:t>功率2.2KW</w:t>
            </w:r>
          </w:p>
        </w:tc>
        <w:tc>
          <w:tcPr>
            <w:tcW w:w="532" w:type="dxa"/>
            <w:tcBorders>
              <w:top w:val="nil"/>
              <w:left w:val="nil"/>
              <w:bottom w:val="single" w:color="auto" w:sz="4" w:space="0"/>
              <w:right w:val="single" w:color="auto" w:sz="4" w:space="0"/>
            </w:tcBorders>
            <w:vAlign w:val="center"/>
          </w:tcPr>
          <w:p w14:paraId="0D2A0FA2">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67FC071">
            <w:pPr>
              <w:widowControl/>
              <w:jc w:val="center"/>
              <w:rPr>
                <w:rFonts w:hAnsi="宋体"/>
                <w:color w:val="auto"/>
                <w:sz w:val="21"/>
                <w:szCs w:val="21"/>
                <w:highlight w:val="none"/>
              </w:rPr>
            </w:pPr>
            <w:r>
              <w:rPr>
                <w:rFonts w:hAnsi="宋体"/>
                <w:color w:val="auto"/>
                <w:sz w:val="21"/>
                <w:szCs w:val="21"/>
                <w:highlight w:val="none"/>
              </w:rPr>
              <w:t>HD5/11</w:t>
            </w:r>
          </w:p>
        </w:tc>
        <w:tc>
          <w:tcPr>
            <w:tcW w:w="1143" w:type="dxa"/>
            <w:tcBorders>
              <w:top w:val="nil"/>
              <w:left w:val="nil"/>
              <w:bottom w:val="single" w:color="auto" w:sz="4" w:space="0"/>
              <w:right w:val="single" w:color="auto" w:sz="4" w:space="0"/>
            </w:tcBorders>
            <w:vAlign w:val="center"/>
          </w:tcPr>
          <w:p w14:paraId="79F60E2B">
            <w:pPr>
              <w:widowControl/>
              <w:jc w:val="center"/>
              <w:rPr>
                <w:rFonts w:hAnsi="宋体"/>
                <w:color w:val="auto"/>
                <w:sz w:val="21"/>
                <w:szCs w:val="21"/>
                <w:highlight w:val="none"/>
              </w:rPr>
            </w:pPr>
            <w:r>
              <w:rPr>
                <w:rFonts w:hAnsi="宋体"/>
                <w:color w:val="auto"/>
                <w:sz w:val="21"/>
                <w:szCs w:val="21"/>
                <w:highlight w:val="none"/>
              </w:rPr>
              <w:t>德国凯驰</w:t>
            </w:r>
          </w:p>
        </w:tc>
        <w:tc>
          <w:tcPr>
            <w:tcW w:w="1424" w:type="dxa"/>
            <w:tcBorders>
              <w:top w:val="nil"/>
              <w:left w:val="nil"/>
              <w:bottom w:val="single" w:color="auto" w:sz="4" w:space="0"/>
              <w:right w:val="single" w:color="auto" w:sz="4" w:space="0"/>
            </w:tcBorders>
            <w:noWrap/>
            <w:vAlign w:val="center"/>
          </w:tcPr>
          <w:p w14:paraId="70CD2AFB">
            <w:pPr>
              <w:widowControl/>
              <w:jc w:val="center"/>
              <w:rPr>
                <w:rFonts w:hAnsi="宋体"/>
                <w:color w:val="auto"/>
                <w:sz w:val="21"/>
                <w:szCs w:val="21"/>
                <w:highlight w:val="none"/>
              </w:rPr>
            </w:pPr>
            <w:r>
              <w:rPr>
                <w:rFonts w:hAnsi="宋体"/>
                <w:color w:val="auto"/>
                <w:sz w:val="21"/>
                <w:szCs w:val="21"/>
                <w:highlight w:val="none"/>
              </w:rPr>
              <w:t>2017年4月</w:t>
            </w:r>
          </w:p>
        </w:tc>
        <w:tc>
          <w:tcPr>
            <w:tcW w:w="812" w:type="dxa"/>
            <w:tcBorders>
              <w:top w:val="nil"/>
              <w:left w:val="nil"/>
              <w:bottom w:val="single" w:color="auto" w:sz="4" w:space="0"/>
              <w:right w:val="single" w:color="auto" w:sz="4" w:space="0"/>
            </w:tcBorders>
            <w:vAlign w:val="center"/>
          </w:tcPr>
          <w:p w14:paraId="1FB4A55B">
            <w:pPr>
              <w:widowControl/>
              <w:jc w:val="center"/>
              <w:rPr>
                <w:rFonts w:hAnsi="宋体"/>
                <w:color w:val="auto"/>
                <w:sz w:val="21"/>
                <w:szCs w:val="21"/>
                <w:highlight w:val="none"/>
              </w:rPr>
            </w:pPr>
            <w:r>
              <w:rPr>
                <w:rFonts w:hAnsi="宋体"/>
                <w:color w:val="auto"/>
                <w:sz w:val="21"/>
                <w:szCs w:val="21"/>
                <w:highlight w:val="none"/>
              </w:rPr>
              <w:t>4</w:t>
            </w:r>
          </w:p>
        </w:tc>
      </w:tr>
      <w:tr w14:paraId="029B2CA2">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F9AB74D">
            <w:pPr>
              <w:widowControl/>
              <w:jc w:val="center"/>
              <w:rPr>
                <w:rFonts w:hAnsi="宋体"/>
                <w:color w:val="auto"/>
                <w:sz w:val="21"/>
                <w:szCs w:val="21"/>
                <w:highlight w:val="none"/>
              </w:rPr>
            </w:pPr>
            <w:r>
              <w:rPr>
                <w:rFonts w:hAnsi="宋体"/>
                <w:color w:val="auto"/>
                <w:sz w:val="21"/>
                <w:szCs w:val="21"/>
                <w:highlight w:val="none"/>
              </w:rPr>
              <w:t>55</w:t>
            </w:r>
          </w:p>
        </w:tc>
        <w:tc>
          <w:tcPr>
            <w:tcW w:w="958" w:type="dxa"/>
            <w:tcBorders>
              <w:top w:val="nil"/>
              <w:left w:val="nil"/>
              <w:bottom w:val="single" w:color="auto" w:sz="4" w:space="0"/>
              <w:right w:val="single" w:color="auto" w:sz="4" w:space="0"/>
            </w:tcBorders>
            <w:vAlign w:val="center"/>
          </w:tcPr>
          <w:p w14:paraId="4AB1D668">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32155D84">
            <w:pPr>
              <w:widowControl/>
              <w:jc w:val="center"/>
              <w:rPr>
                <w:rFonts w:hAnsi="宋体"/>
                <w:color w:val="auto"/>
                <w:sz w:val="21"/>
                <w:szCs w:val="21"/>
                <w:highlight w:val="none"/>
              </w:rPr>
            </w:pPr>
            <w:r>
              <w:rPr>
                <w:rFonts w:hAnsi="宋体"/>
                <w:color w:val="auto"/>
                <w:sz w:val="21"/>
                <w:szCs w:val="21"/>
                <w:highlight w:val="none"/>
              </w:rPr>
              <w:t>清洗机</w:t>
            </w:r>
          </w:p>
        </w:tc>
        <w:tc>
          <w:tcPr>
            <w:tcW w:w="1347" w:type="dxa"/>
            <w:tcBorders>
              <w:top w:val="nil"/>
              <w:left w:val="nil"/>
              <w:bottom w:val="single" w:color="auto" w:sz="4" w:space="0"/>
              <w:right w:val="single" w:color="auto" w:sz="4" w:space="0"/>
            </w:tcBorders>
            <w:vAlign w:val="center"/>
          </w:tcPr>
          <w:p w14:paraId="605D73D1">
            <w:pPr>
              <w:widowControl/>
              <w:jc w:val="center"/>
              <w:rPr>
                <w:rFonts w:hAnsi="宋体"/>
                <w:color w:val="auto"/>
                <w:sz w:val="21"/>
                <w:szCs w:val="21"/>
                <w:highlight w:val="none"/>
              </w:rPr>
            </w:pPr>
            <w:r>
              <w:rPr>
                <w:rFonts w:hAnsi="宋体"/>
                <w:color w:val="auto"/>
                <w:sz w:val="21"/>
                <w:szCs w:val="21"/>
                <w:highlight w:val="none"/>
              </w:rPr>
              <w:t>太仓应急(051)</w:t>
            </w:r>
          </w:p>
        </w:tc>
        <w:tc>
          <w:tcPr>
            <w:tcW w:w="1239" w:type="dxa"/>
            <w:tcBorders>
              <w:top w:val="nil"/>
              <w:left w:val="nil"/>
              <w:bottom w:val="single" w:color="auto" w:sz="4" w:space="0"/>
              <w:right w:val="single" w:color="auto" w:sz="4" w:space="0"/>
            </w:tcBorders>
            <w:vAlign w:val="center"/>
          </w:tcPr>
          <w:p w14:paraId="1621C3AE">
            <w:pPr>
              <w:widowControl/>
              <w:jc w:val="center"/>
              <w:rPr>
                <w:rFonts w:hAnsi="宋体"/>
                <w:color w:val="auto"/>
                <w:sz w:val="21"/>
                <w:szCs w:val="21"/>
                <w:highlight w:val="none"/>
              </w:rPr>
            </w:pPr>
            <w:r>
              <w:rPr>
                <w:rFonts w:hAnsi="宋体"/>
                <w:color w:val="auto"/>
                <w:sz w:val="21"/>
                <w:szCs w:val="21"/>
                <w:highlight w:val="none"/>
              </w:rPr>
              <w:t>功率5.5KW</w:t>
            </w:r>
          </w:p>
        </w:tc>
        <w:tc>
          <w:tcPr>
            <w:tcW w:w="532" w:type="dxa"/>
            <w:tcBorders>
              <w:top w:val="nil"/>
              <w:left w:val="nil"/>
              <w:bottom w:val="single" w:color="auto" w:sz="4" w:space="0"/>
              <w:right w:val="single" w:color="auto" w:sz="4" w:space="0"/>
            </w:tcBorders>
            <w:vAlign w:val="center"/>
          </w:tcPr>
          <w:p w14:paraId="2A0C6543">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A80B865">
            <w:pPr>
              <w:widowControl/>
              <w:jc w:val="center"/>
              <w:rPr>
                <w:rFonts w:hAnsi="宋体"/>
                <w:color w:val="auto"/>
                <w:sz w:val="21"/>
                <w:szCs w:val="21"/>
                <w:highlight w:val="none"/>
              </w:rPr>
            </w:pPr>
            <w:r>
              <w:rPr>
                <w:rFonts w:hAnsi="宋体"/>
                <w:color w:val="auto"/>
                <w:sz w:val="21"/>
                <w:szCs w:val="21"/>
                <w:highlight w:val="none"/>
              </w:rPr>
              <w:t>DN-2114M</w:t>
            </w:r>
          </w:p>
        </w:tc>
        <w:tc>
          <w:tcPr>
            <w:tcW w:w="1143" w:type="dxa"/>
            <w:tcBorders>
              <w:top w:val="nil"/>
              <w:left w:val="nil"/>
              <w:bottom w:val="single" w:color="auto" w:sz="4" w:space="0"/>
              <w:right w:val="single" w:color="auto" w:sz="4" w:space="0"/>
            </w:tcBorders>
            <w:vAlign w:val="center"/>
          </w:tcPr>
          <w:p w14:paraId="00569F7F">
            <w:pPr>
              <w:widowControl/>
              <w:jc w:val="center"/>
              <w:rPr>
                <w:rFonts w:hAnsi="宋体"/>
                <w:color w:val="auto"/>
                <w:sz w:val="21"/>
                <w:szCs w:val="21"/>
                <w:highlight w:val="none"/>
              </w:rPr>
            </w:pPr>
            <w:r>
              <w:rPr>
                <w:rFonts w:hAnsi="宋体"/>
                <w:color w:val="auto"/>
                <w:sz w:val="21"/>
                <w:szCs w:val="21"/>
                <w:highlight w:val="none"/>
              </w:rPr>
              <w:t>德能</w:t>
            </w:r>
          </w:p>
        </w:tc>
        <w:tc>
          <w:tcPr>
            <w:tcW w:w="1424" w:type="dxa"/>
            <w:tcBorders>
              <w:top w:val="nil"/>
              <w:left w:val="nil"/>
              <w:bottom w:val="single" w:color="auto" w:sz="4" w:space="0"/>
              <w:right w:val="single" w:color="auto" w:sz="4" w:space="0"/>
            </w:tcBorders>
            <w:noWrap/>
            <w:vAlign w:val="center"/>
          </w:tcPr>
          <w:p w14:paraId="556DB343">
            <w:pPr>
              <w:widowControl/>
              <w:jc w:val="center"/>
              <w:rPr>
                <w:rFonts w:hAnsi="宋体"/>
                <w:color w:val="auto"/>
                <w:sz w:val="21"/>
                <w:szCs w:val="21"/>
                <w:highlight w:val="none"/>
              </w:rPr>
            </w:pPr>
            <w:r>
              <w:rPr>
                <w:rFonts w:hAnsi="宋体"/>
                <w:color w:val="auto"/>
                <w:sz w:val="21"/>
                <w:szCs w:val="21"/>
                <w:highlight w:val="none"/>
              </w:rPr>
              <w:t>2017年8月</w:t>
            </w:r>
          </w:p>
        </w:tc>
        <w:tc>
          <w:tcPr>
            <w:tcW w:w="812" w:type="dxa"/>
            <w:tcBorders>
              <w:top w:val="nil"/>
              <w:left w:val="nil"/>
              <w:bottom w:val="single" w:color="auto" w:sz="4" w:space="0"/>
              <w:right w:val="single" w:color="auto" w:sz="4" w:space="0"/>
            </w:tcBorders>
            <w:vAlign w:val="center"/>
          </w:tcPr>
          <w:p w14:paraId="25CA99F4">
            <w:pPr>
              <w:widowControl/>
              <w:jc w:val="center"/>
              <w:rPr>
                <w:rFonts w:hAnsi="宋体"/>
                <w:color w:val="auto"/>
                <w:sz w:val="21"/>
                <w:szCs w:val="21"/>
                <w:highlight w:val="none"/>
              </w:rPr>
            </w:pPr>
            <w:r>
              <w:rPr>
                <w:rFonts w:hAnsi="宋体"/>
                <w:color w:val="auto"/>
                <w:sz w:val="21"/>
                <w:szCs w:val="21"/>
                <w:highlight w:val="none"/>
              </w:rPr>
              <w:t>4</w:t>
            </w:r>
          </w:p>
        </w:tc>
      </w:tr>
      <w:tr w14:paraId="26200C19">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0DBC724">
            <w:pPr>
              <w:widowControl/>
              <w:jc w:val="center"/>
              <w:rPr>
                <w:rFonts w:hAnsi="宋体"/>
                <w:color w:val="auto"/>
                <w:sz w:val="21"/>
                <w:szCs w:val="21"/>
                <w:highlight w:val="none"/>
              </w:rPr>
            </w:pPr>
            <w:r>
              <w:rPr>
                <w:rFonts w:hAnsi="宋体"/>
                <w:color w:val="auto"/>
                <w:sz w:val="21"/>
                <w:szCs w:val="21"/>
                <w:highlight w:val="none"/>
              </w:rPr>
              <w:t>56</w:t>
            </w:r>
          </w:p>
        </w:tc>
        <w:tc>
          <w:tcPr>
            <w:tcW w:w="958" w:type="dxa"/>
            <w:tcBorders>
              <w:top w:val="nil"/>
              <w:left w:val="nil"/>
              <w:bottom w:val="single" w:color="auto" w:sz="4" w:space="0"/>
              <w:right w:val="single" w:color="auto" w:sz="4" w:space="0"/>
            </w:tcBorders>
            <w:vAlign w:val="center"/>
          </w:tcPr>
          <w:p w14:paraId="2C010CAE">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2B4EC726">
            <w:pPr>
              <w:widowControl/>
              <w:jc w:val="center"/>
              <w:rPr>
                <w:rFonts w:hAnsi="宋体"/>
                <w:color w:val="auto"/>
                <w:sz w:val="21"/>
                <w:szCs w:val="21"/>
                <w:highlight w:val="none"/>
              </w:rPr>
            </w:pPr>
            <w:r>
              <w:rPr>
                <w:rFonts w:hAnsi="宋体"/>
                <w:color w:val="auto"/>
                <w:sz w:val="21"/>
                <w:szCs w:val="21"/>
                <w:highlight w:val="none"/>
              </w:rPr>
              <w:t>清洗机</w:t>
            </w:r>
          </w:p>
        </w:tc>
        <w:tc>
          <w:tcPr>
            <w:tcW w:w="1347" w:type="dxa"/>
            <w:tcBorders>
              <w:top w:val="nil"/>
              <w:left w:val="nil"/>
              <w:bottom w:val="single" w:color="auto" w:sz="4" w:space="0"/>
              <w:right w:val="single" w:color="auto" w:sz="4" w:space="0"/>
            </w:tcBorders>
            <w:vAlign w:val="center"/>
          </w:tcPr>
          <w:p w14:paraId="6B19D45D">
            <w:pPr>
              <w:widowControl/>
              <w:jc w:val="center"/>
              <w:rPr>
                <w:rFonts w:hAnsi="宋体"/>
                <w:color w:val="auto"/>
                <w:sz w:val="21"/>
                <w:szCs w:val="21"/>
                <w:highlight w:val="none"/>
              </w:rPr>
            </w:pPr>
            <w:r>
              <w:rPr>
                <w:rFonts w:hAnsi="宋体"/>
                <w:color w:val="auto"/>
                <w:sz w:val="21"/>
                <w:szCs w:val="21"/>
                <w:highlight w:val="none"/>
              </w:rPr>
              <w:t>太仓应急(053)</w:t>
            </w:r>
          </w:p>
        </w:tc>
        <w:tc>
          <w:tcPr>
            <w:tcW w:w="1239" w:type="dxa"/>
            <w:tcBorders>
              <w:top w:val="nil"/>
              <w:left w:val="nil"/>
              <w:bottom w:val="single" w:color="auto" w:sz="4" w:space="0"/>
              <w:right w:val="single" w:color="auto" w:sz="4" w:space="0"/>
            </w:tcBorders>
            <w:vAlign w:val="center"/>
          </w:tcPr>
          <w:p w14:paraId="37ABEB39">
            <w:pPr>
              <w:widowControl/>
              <w:jc w:val="center"/>
              <w:rPr>
                <w:rFonts w:hAnsi="宋体"/>
                <w:color w:val="auto"/>
                <w:sz w:val="21"/>
                <w:szCs w:val="21"/>
                <w:highlight w:val="none"/>
              </w:rPr>
            </w:pPr>
            <w:r>
              <w:rPr>
                <w:rFonts w:hAnsi="宋体"/>
                <w:color w:val="auto"/>
                <w:sz w:val="21"/>
                <w:szCs w:val="21"/>
                <w:highlight w:val="none"/>
              </w:rPr>
              <w:t>功率9.2KW</w:t>
            </w:r>
          </w:p>
        </w:tc>
        <w:tc>
          <w:tcPr>
            <w:tcW w:w="532" w:type="dxa"/>
            <w:tcBorders>
              <w:top w:val="nil"/>
              <w:left w:val="nil"/>
              <w:bottom w:val="single" w:color="auto" w:sz="4" w:space="0"/>
              <w:right w:val="single" w:color="auto" w:sz="4" w:space="0"/>
            </w:tcBorders>
            <w:vAlign w:val="center"/>
          </w:tcPr>
          <w:p w14:paraId="23B8BF41">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0CEBB9FA">
            <w:pPr>
              <w:widowControl/>
              <w:jc w:val="center"/>
              <w:rPr>
                <w:rFonts w:hAnsi="宋体"/>
                <w:color w:val="auto"/>
                <w:sz w:val="21"/>
                <w:szCs w:val="21"/>
                <w:highlight w:val="none"/>
              </w:rPr>
            </w:pPr>
            <w:r>
              <w:rPr>
                <w:rFonts w:hAnsi="宋体"/>
                <w:color w:val="auto"/>
                <w:sz w:val="21"/>
                <w:szCs w:val="21"/>
                <w:highlight w:val="none"/>
              </w:rPr>
              <w:t>HD10/25-4S</w:t>
            </w:r>
          </w:p>
        </w:tc>
        <w:tc>
          <w:tcPr>
            <w:tcW w:w="1143" w:type="dxa"/>
            <w:tcBorders>
              <w:top w:val="nil"/>
              <w:left w:val="nil"/>
              <w:bottom w:val="single" w:color="auto" w:sz="4" w:space="0"/>
              <w:right w:val="single" w:color="auto" w:sz="4" w:space="0"/>
            </w:tcBorders>
            <w:vAlign w:val="center"/>
          </w:tcPr>
          <w:p w14:paraId="76DA984E">
            <w:pPr>
              <w:widowControl/>
              <w:jc w:val="center"/>
              <w:rPr>
                <w:rFonts w:hAnsi="宋体"/>
                <w:color w:val="auto"/>
                <w:sz w:val="21"/>
                <w:szCs w:val="21"/>
                <w:highlight w:val="none"/>
              </w:rPr>
            </w:pPr>
            <w:r>
              <w:rPr>
                <w:rFonts w:hAnsi="宋体"/>
                <w:color w:val="auto"/>
                <w:sz w:val="21"/>
                <w:szCs w:val="21"/>
                <w:highlight w:val="none"/>
              </w:rPr>
              <w:t>德国凯驰</w:t>
            </w:r>
          </w:p>
        </w:tc>
        <w:tc>
          <w:tcPr>
            <w:tcW w:w="1424" w:type="dxa"/>
            <w:tcBorders>
              <w:top w:val="nil"/>
              <w:left w:val="nil"/>
              <w:bottom w:val="single" w:color="auto" w:sz="4" w:space="0"/>
              <w:right w:val="single" w:color="auto" w:sz="4" w:space="0"/>
            </w:tcBorders>
            <w:noWrap/>
            <w:vAlign w:val="center"/>
          </w:tcPr>
          <w:p w14:paraId="0D73BB2C">
            <w:pPr>
              <w:widowControl/>
              <w:jc w:val="center"/>
              <w:rPr>
                <w:rFonts w:hAnsi="宋体"/>
                <w:color w:val="auto"/>
                <w:sz w:val="21"/>
                <w:szCs w:val="21"/>
                <w:highlight w:val="none"/>
              </w:rPr>
            </w:pPr>
            <w:r>
              <w:rPr>
                <w:rFonts w:hAnsi="宋体"/>
                <w:color w:val="auto"/>
                <w:sz w:val="21"/>
                <w:szCs w:val="21"/>
                <w:highlight w:val="none"/>
              </w:rPr>
              <w:t>2019年12月</w:t>
            </w:r>
          </w:p>
        </w:tc>
        <w:tc>
          <w:tcPr>
            <w:tcW w:w="812" w:type="dxa"/>
            <w:tcBorders>
              <w:top w:val="nil"/>
              <w:left w:val="nil"/>
              <w:bottom w:val="single" w:color="auto" w:sz="4" w:space="0"/>
              <w:right w:val="single" w:color="auto" w:sz="4" w:space="0"/>
            </w:tcBorders>
            <w:vAlign w:val="center"/>
          </w:tcPr>
          <w:p w14:paraId="0A683F78">
            <w:pPr>
              <w:widowControl/>
              <w:jc w:val="center"/>
              <w:rPr>
                <w:rFonts w:hAnsi="宋体"/>
                <w:color w:val="auto"/>
                <w:sz w:val="21"/>
                <w:szCs w:val="21"/>
                <w:highlight w:val="none"/>
              </w:rPr>
            </w:pPr>
            <w:r>
              <w:rPr>
                <w:rFonts w:hAnsi="宋体"/>
                <w:color w:val="auto"/>
                <w:sz w:val="21"/>
                <w:szCs w:val="21"/>
                <w:highlight w:val="none"/>
              </w:rPr>
              <w:t>4</w:t>
            </w:r>
          </w:p>
        </w:tc>
      </w:tr>
      <w:tr w14:paraId="6EEE803D">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59AAE1FE">
            <w:pPr>
              <w:widowControl/>
              <w:jc w:val="center"/>
              <w:rPr>
                <w:rFonts w:hAnsi="宋体"/>
                <w:color w:val="auto"/>
                <w:sz w:val="21"/>
                <w:szCs w:val="21"/>
                <w:highlight w:val="none"/>
              </w:rPr>
            </w:pPr>
            <w:r>
              <w:rPr>
                <w:rFonts w:hAnsi="宋体"/>
                <w:color w:val="auto"/>
                <w:sz w:val="21"/>
                <w:szCs w:val="21"/>
                <w:highlight w:val="none"/>
              </w:rPr>
              <w:t>57</w:t>
            </w:r>
          </w:p>
        </w:tc>
        <w:tc>
          <w:tcPr>
            <w:tcW w:w="958" w:type="dxa"/>
            <w:tcBorders>
              <w:top w:val="nil"/>
              <w:left w:val="nil"/>
              <w:bottom w:val="single" w:color="auto" w:sz="4" w:space="0"/>
              <w:right w:val="single" w:color="auto" w:sz="4" w:space="0"/>
            </w:tcBorders>
            <w:vAlign w:val="center"/>
          </w:tcPr>
          <w:p w14:paraId="43F529FA">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51833757">
            <w:pPr>
              <w:widowControl/>
              <w:jc w:val="center"/>
              <w:rPr>
                <w:rFonts w:hAnsi="宋体"/>
                <w:color w:val="auto"/>
                <w:sz w:val="21"/>
                <w:szCs w:val="21"/>
                <w:highlight w:val="none"/>
              </w:rPr>
            </w:pPr>
            <w:r>
              <w:rPr>
                <w:rFonts w:hAnsi="宋体"/>
                <w:color w:val="auto"/>
                <w:sz w:val="21"/>
                <w:szCs w:val="21"/>
                <w:highlight w:val="none"/>
              </w:rPr>
              <w:t>清洗机</w:t>
            </w:r>
          </w:p>
        </w:tc>
        <w:tc>
          <w:tcPr>
            <w:tcW w:w="1347" w:type="dxa"/>
            <w:tcBorders>
              <w:top w:val="nil"/>
              <w:left w:val="nil"/>
              <w:bottom w:val="single" w:color="auto" w:sz="4" w:space="0"/>
              <w:right w:val="single" w:color="auto" w:sz="4" w:space="0"/>
            </w:tcBorders>
            <w:vAlign w:val="center"/>
          </w:tcPr>
          <w:p w14:paraId="26A4CDE2">
            <w:pPr>
              <w:widowControl/>
              <w:jc w:val="center"/>
              <w:rPr>
                <w:rFonts w:hAnsi="宋体"/>
                <w:color w:val="auto"/>
                <w:sz w:val="21"/>
                <w:szCs w:val="21"/>
                <w:highlight w:val="none"/>
              </w:rPr>
            </w:pPr>
            <w:r>
              <w:rPr>
                <w:rFonts w:hAnsi="宋体"/>
                <w:color w:val="auto"/>
                <w:sz w:val="21"/>
                <w:szCs w:val="21"/>
                <w:highlight w:val="none"/>
              </w:rPr>
              <w:t>太仓应急(054)</w:t>
            </w:r>
          </w:p>
        </w:tc>
        <w:tc>
          <w:tcPr>
            <w:tcW w:w="1239" w:type="dxa"/>
            <w:tcBorders>
              <w:top w:val="nil"/>
              <w:left w:val="nil"/>
              <w:bottom w:val="single" w:color="auto" w:sz="4" w:space="0"/>
              <w:right w:val="single" w:color="auto" w:sz="4" w:space="0"/>
            </w:tcBorders>
            <w:vAlign w:val="center"/>
          </w:tcPr>
          <w:p w14:paraId="1E35E697">
            <w:pPr>
              <w:widowControl/>
              <w:jc w:val="center"/>
              <w:rPr>
                <w:rFonts w:hAnsi="宋体"/>
                <w:color w:val="auto"/>
                <w:sz w:val="21"/>
                <w:szCs w:val="21"/>
                <w:highlight w:val="none"/>
              </w:rPr>
            </w:pPr>
            <w:r>
              <w:rPr>
                <w:rFonts w:hAnsi="宋体"/>
                <w:color w:val="auto"/>
                <w:sz w:val="21"/>
                <w:szCs w:val="21"/>
                <w:highlight w:val="none"/>
              </w:rPr>
              <w:t>功率4KW</w:t>
            </w:r>
          </w:p>
        </w:tc>
        <w:tc>
          <w:tcPr>
            <w:tcW w:w="532" w:type="dxa"/>
            <w:tcBorders>
              <w:top w:val="nil"/>
              <w:left w:val="nil"/>
              <w:bottom w:val="single" w:color="auto" w:sz="4" w:space="0"/>
              <w:right w:val="single" w:color="auto" w:sz="4" w:space="0"/>
            </w:tcBorders>
            <w:vAlign w:val="center"/>
          </w:tcPr>
          <w:p w14:paraId="21087F5C">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59C0907F">
            <w:pPr>
              <w:widowControl/>
              <w:jc w:val="center"/>
              <w:rPr>
                <w:rFonts w:hAnsi="宋体"/>
                <w:color w:val="auto"/>
                <w:sz w:val="21"/>
                <w:szCs w:val="21"/>
                <w:highlight w:val="none"/>
              </w:rPr>
            </w:pPr>
            <w:r>
              <w:rPr>
                <w:rFonts w:hAnsi="宋体"/>
                <w:color w:val="auto"/>
                <w:sz w:val="21"/>
                <w:szCs w:val="21"/>
                <w:highlight w:val="none"/>
              </w:rPr>
              <w:t>GZ18M-4T4</w:t>
            </w:r>
          </w:p>
        </w:tc>
        <w:tc>
          <w:tcPr>
            <w:tcW w:w="1143" w:type="dxa"/>
            <w:tcBorders>
              <w:top w:val="nil"/>
              <w:left w:val="nil"/>
              <w:bottom w:val="single" w:color="auto" w:sz="4" w:space="0"/>
              <w:right w:val="single" w:color="auto" w:sz="4" w:space="0"/>
            </w:tcBorders>
            <w:vAlign w:val="center"/>
          </w:tcPr>
          <w:p w14:paraId="29CB5F01">
            <w:pPr>
              <w:widowControl/>
              <w:jc w:val="center"/>
              <w:rPr>
                <w:rFonts w:hAnsi="宋体"/>
                <w:color w:val="auto"/>
                <w:sz w:val="21"/>
                <w:szCs w:val="21"/>
                <w:highlight w:val="none"/>
              </w:rPr>
            </w:pPr>
            <w:r>
              <w:rPr>
                <w:rFonts w:hAnsi="宋体"/>
                <w:color w:val="auto"/>
                <w:sz w:val="21"/>
                <w:szCs w:val="21"/>
                <w:highlight w:val="none"/>
              </w:rPr>
              <w:t>大成</w:t>
            </w:r>
          </w:p>
        </w:tc>
        <w:tc>
          <w:tcPr>
            <w:tcW w:w="1424" w:type="dxa"/>
            <w:tcBorders>
              <w:top w:val="nil"/>
              <w:left w:val="nil"/>
              <w:bottom w:val="single" w:color="auto" w:sz="4" w:space="0"/>
              <w:right w:val="single" w:color="auto" w:sz="4" w:space="0"/>
            </w:tcBorders>
            <w:noWrap/>
            <w:vAlign w:val="center"/>
          </w:tcPr>
          <w:p w14:paraId="69CFB42F">
            <w:pPr>
              <w:widowControl/>
              <w:jc w:val="center"/>
              <w:rPr>
                <w:rFonts w:hAnsi="宋体"/>
                <w:color w:val="auto"/>
                <w:sz w:val="21"/>
                <w:szCs w:val="21"/>
                <w:highlight w:val="none"/>
              </w:rPr>
            </w:pPr>
            <w:r>
              <w:rPr>
                <w:rFonts w:hAnsi="宋体"/>
                <w:color w:val="auto"/>
                <w:sz w:val="21"/>
                <w:szCs w:val="21"/>
                <w:highlight w:val="none"/>
              </w:rPr>
              <w:t>2021年2月</w:t>
            </w:r>
          </w:p>
        </w:tc>
        <w:tc>
          <w:tcPr>
            <w:tcW w:w="812" w:type="dxa"/>
            <w:tcBorders>
              <w:top w:val="nil"/>
              <w:left w:val="nil"/>
              <w:bottom w:val="single" w:color="auto" w:sz="4" w:space="0"/>
              <w:right w:val="single" w:color="auto" w:sz="4" w:space="0"/>
            </w:tcBorders>
            <w:vAlign w:val="center"/>
          </w:tcPr>
          <w:p w14:paraId="04F8E9A7">
            <w:pPr>
              <w:widowControl/>
              <w:jc w:val="center"/>
              <w:rPr>
                <w:rFonts w:hAnsi="宋体"/>
                <w:color w:val="auto"/>
                <w:sz w:val="21"/>
                <w:szCs w:val="21"/>
                <w:highlight w:val="none"/>
              </w:rPr>
            </w:pPr>
            <w:r>
              <w:rPr>
                <w:rFonts w:hAnsi="宋体"/>
                <w:color w:val="auto"/>
                <w:sz w:val="21"/>
                <w:szCs w:val="21"/>
                <w:highlight w:val="none"/>
              </w:rPr>
              <w:t>4</w:t>
            </w:r>
          </w:p>
        </w:tc>
      </w:tr>
      <w:tr w14:paraId="2ED14C41">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4B1B8C7F">
            <w:pPr>
              <w:widowControl/>
              <w:jc w:val="center"/>
              <w:rPr>
                <w:rFonts w:hAnsi="宋体"/>
                <w:color w:val="auto"/>
                <w:sz w:val="21"/>
                <w:szCs w:val="21"/>
                <w:highlight w:val="none"/>
              </w:rPr>
            </w:pPr>
            <w:r>
              <w:rPr>
                <w:rFonts w:hAnsi="宋体"/>
                <w:color w:val="auto"/>
                <w:sz w:val="21"/>
                <w:szCs w:val="21"/>
                <w:highlight w:val="none"/>
              </w:rPr>
              <w:t>58</w:t>
            </w:r>
          </w:p>
        </w:tc>
        <w:tc>
          <w:tcPr>
            <w:tcW w:w="958" w:type="dxa"/>
            <w:tcBorders>
              <w:top w:val="nil"/>
              <w:left w:val="nil"/>
              <w:bottom w:val="single" w:color="auto" w:sz="4" w:space="0"/>
              <w:right w:val="single" w:color="auto" w:sz="4" w:space="0"/>
            </w:tcBorders>
            <w:vAlign w:val="center"/>
          </w:tcPr>
          <w:p w14:paraId="2E117164">
            <w:pPr>
              <w:widowControl/>
              <w:jc w:val="center"/>
              <w:rPr>
                <w:rFonts w:hAnsi="宋体"/>
                <w:color w:val="auto"/>
                <w:sz w:val="21"/>
                <w:szCs w:val="21"/>
                <w:highlight w:val="none"/>
              </w:rPr>
            </w:pPr>
            <w:r>
              <w:rPr>
                <w:rFonts w:hAnsi="宋体"/>
                <w:color w:val="auto"/>
                <w:sz w:val="21"/>
                <w:szCs w:val="21"/>
                <w:highlight w:val="none"/>
              </w:rPr>
              <w:t>日常维护设备</w:t>
            </w:r>
          </w:p>
        </w:tc>
        <w:tc>
          <w:tcPr>
            <w:tcW w:w="1276" w:type="dxa"/>
            <w:tcBorders>
              <w:top w:val="nil"/>
              <w:left w:val="nil"/>
              <w:bottom w:val="single" w:color="auto" w:sz="4" w:space="0"/>
              <w:right w:val="single" w:color="auto" w:sz="4" w:space="0"/>
            </w:tcBorders>
            <w:vAlign w:val="center"/>
          </w:tcPr>
          <w:p w14:paraId="1FB5A843">
            <w:pPr>
              <w:widowControl/>
              <w:jc w:val="center"/>
              <w:rPr>
                <w:rFonts w:hAnsi="宋体"/>
                <w:color w:val="auto"/>
                <w:sz w:val="21"/>
                <w:szCs w:val="21"/>
                <w:highlight w:val="none"/>
              </w:rPr>
            </w:pPr>
            <w:r>
              <w:rPr>
                <w:rFonts w:hAnsi="宋体"/>
                <w:color w:val="auto"/>
                <w:sz w:val="21"/>
                <w:szCs w:val="21"/>
                <w:highlight w:val="none"/>
              </w:rPr>
              <w:t>货叉</w:t>
            </w:r>
          </w:p>
        </w:tc>
        <w:tc>
          <w:tcPr>
            <w:tcW w:w="1347" w:type="dxa"/>
            <w:tcBorders>
              <w:top w:val="nil"/>
              <w:left w:val="nil"/>
              <w:bottom w:val="single" w:color="auto" w:sz="4" w:space="0"/>
              <w:right w:val="single" w:color="auto" w:sz="4" w:space="0"/>
            </w:tcBorders>
            <w:vAlign w:val="center"/>
          </w:tcPr>
          <w:p w14:paraId="63629693">
            <w:pPr>
              <w:widowControl/>
              <w:jc w:val="center"/>
              <w:rPr>
                <w:rFonts w:hAnsi="宋体"/>
                <w:color w:val="auto"/>
                <w:sz w:val="21"/>
                <w:szCs w:val="21"/>
                <w:highlight w:val="none"/>
              </w:rPr>
            </w:pPr>
            <w:r>
              <w:rPr>
                <w:rFonts w:hAnsi="宋体"/>
                <w:color w:val="auto"/>
                <w:sz w:val="21"/>
                <w:szCs w:val="21"/>
                <w:highlight w:val="none"/>
              </w:rPr>
              <w:t>太仓应急(055)</w:t>
            </w:r>
          </w:p>
        </w:tc>
        <w:tc>
          <w:tcPr>
            <w:tcW w:w="1239" w:type="dxa"/>
            <w:tcBorders>
              <w:top w:val="nil"/>
              <w:left w:val="nil"/>
              <w:bottom w:val="single" w:color="auto" w:sz="4" w:space="0"/>
              <w:right w:val="single" w:color="auto" w:sz="4" w:space="0"/>
            </w:tcBorders>
            <w:vAlign w:val="center"/>
          </w:tcPr>
          <w:p w14:paraId="39B1FA3F">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305FD43D">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7B76A9B9">
            <w:pPr>
              <w:widowControl/>
              <w:jc w:val="center"/>
              <w:rPr>
                <w:rFonts w:hAnsi="宋体"/>
                <w:color w:val="auto"/>
                <w:sz w:val="21"/>
                <w:szCs w:val="21"/>
                <w:highlight w:val="none"/>
              </w:rPr>
            </w:pPr>
            <w:r>
              <w:rPr>
                <w:rFonts w:hAnsi="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0094F4B3">
            <w:pPr>
              <w:widowControl/>
              <w:jc w:val="center"/>
              <w:rPr>
                <w:rFonts w:hAnsi="宋体"/>
                <w:color w:val="auto"/>
                <w:sz w:val="21"/>
                <w:szCs w:val="21"/>
                <w:highlight w:val="none"/>
              </w:rPr>
            </w:pPr>
            <w:r>
              <w:rPr>
                <w:rFonts w:hAnsi="宋体"/>
                <w:color w:val="auto"/>
                <w:sz w:val="21"/>
                <w:szCs w:val="21"/>
                <w:highlight w:val="none"/>
              </w:rPr>
              <w:t>泰安鲁岳</w:t>
            </w:r>
          </w:p>
        </w:tc>
        <w:tc>
          <w:tcPr>
            <w:tcW w:w="1424" w:type="dxa"/>
            <w:tcBorders>
              <w:top w:val="nil"/>
              <w:left w:val="nil"/>
              <w:bottom w:val="single" w:color="auto" w:sz="4" w:space="0"/>
              <w:right w:val="single" w:color="auto" w:sz="4" w:space="0"/>
            </w:tcBorders>
            <w:noWrap/>
            <w:vAlign w:val="center"/>
          </w:tcPr>
          <w:p w14:paraId="4CCADCE8">
            <w:pPr>
              <w:widowControl/>
              <w:jc w:val="center"/>
              <w:rPr>
                <w:rFonts w:hAnsi="宋体"/>
                <w:color w:val="auto"/>
                <w:sz w:val="21"/>
                <w:szCs w:val="21"/>
                <w:highlight w:val="none"/>
              </w:rPr>
            </w:pPr>
            <w:r>
              <w:rPr>
                <w:rFonts w:hAnsi="宋体"/>
                <w:color w:val="auto"/>
                <w:sz w:val="21"/>
                <w:szCs w:val="21"/>
                <w:highlight w:val="none"/>
              </w:rPr>
              <w:t>2015年5月</w:t>
            </w:r>
          </w:p>
        </w:tc>
        <w:tc>
          <w:tcPr>
            <w:tcW w:w="812" w:type="dxa"/>
            <w:tcBorders>
              <w:top w:val="nil"/>
              <w:left w:val="nil"/>
              <w:bottom w:val="single" w:color="auto" w:sz="4" w:space="0"/>
              <w:right w:val="single" w:color="auto" w:sz="4" w:space="0"/>
            </w:tcBorders>
            <w:vAlign w:val="center"/>
          </w:tcPr>
          <w:p w14:paraId="14968DD8">
            <w:pPr>
              <w:widowControl/>
              <w:jc w:val="center"/>
              <w:rPr>
                <w:rFonts w:hAnsi="宋体"/>
                <w:color w:val="auto"/>
                <w:sz w:val="21"/>
                <w:szCs w:val="21"/>
                <w:highlight w:val="none"/>
              </w:rPr>
            </w:pPr>
            <w:r>
              <w:rPr>
                <w:rFonts w:hAnsi="宋体"/>
                <w:color w:val="auto"/>
                <w:sz w:val="21"/>
                <w:szCs w:val="21"/>
                <w:highlight w:val="none"/>
              </w:rPr>
              <w:t>2</w:t>
            </w:r>
          </w:p>
        </w:tc>
      </w:tr>
      <w:tr w14:paraId="087B319B">
        <w:tblPrEx>
          <w:tblCellMar>
            <w:top w:w="0" w:type="dxa"/>
            <w:left w:w="108" w:type="dxa"/>
            <w:bottom w:w="0" w:type="dxa"/>
            <w:right w:w="108" w:type="dxa"/>
          </w:tblCellMar>
        </w:tblPrEx>
        <w:trPr>
          <w:jc w:val="center"/>
        </w:trPr>
        <w:tc>
          <w:tcPr>
            <w:tcW w:w="455" w:type="dxa"/>
            <w:tcBorders>
              <w:top w:val="nil"/>
              <w:left w:val="single" w:color="auto" w:sz="4" w:space="0"/>
              <w:bottom w:val="single" w:color="auto" w:sz="4" w:space="0"/>
              <w:right w:val="single" w:color="auto" w:sz="4" w:space="0"/>
            </w:tcBorders>
            <w:vAlign w:val="center"/>
          </w:tcPr>
          <w:p w14:paraId="0C13B25E">
            <w:pPr>
              <w:widowControl/>
              <w:jc w:val="center"/>
              <w:rPr>
                <w:rFonts w:hAnsi="宋体"/>
                <w:color w:val="auto"/>
                <w:sz w:val="21"/>
                <w:szCs w:val="21"/>
                <w:highlight w:val="none"/>
              </w:rPr>
            </w:pPr>
            <w:r>
              <w:rPr>
                <w:rFonts w:hAnsi="宋体"/>
                <w:color w:val="auto"/>
                <w:sz w:val="21"/>
                <w:szCs w:val="21"/>
                <w:highlight w:val="none"/>
              </w:rPr>
              <w:t>59</w:t>
            </w:r>
          </w:p>
        </w:tc>
        <w:tc>
          <w:tcPr>
            <w:tcW w:w="958" w:type="dxa"/>
            <w:tcBorders>
              <w:top w:val="nil"/>
              <w:left w:val="nil"/>
              <w:bottom w:val="single" w:color="auto" w:sz="4" w:space="0"/>
              <w:right w:val="single" w:color="auto" w:sz="4" w:space="0"/>
            </w:tcBorders>
            <w:vAlign w:val="center"/>
          </w:tcPr>
          <w:p w14:paraId="751FF854">
            <w:pPr>
              <w:widowControl/>
              <w:jc w:val="center"/>
              <w:rPr>
                <w:rFonts w:hAnsi="宋体"/>
                <w:color w:val="auto"/>
                <w:sz w:val="21"/>
                <w:szCs w:val="21"/>
                <w:highlight w:val="none"/>
              </w:rPr>
            </w:pPr>
            <w:r>
              <w:rPr>
                <w:rFonts w:hAnsi="宋体"/>
                <w:color w:val="auto"/>
                <w:sz w:val="21"/>
                <w:szCs w:val="21"/>
                <w:highlight w:val="none"/>
              </w:rPr>
              <w:t>应急处置设备</w:t>
            </w:r>
          </w:p>
        </w:tc>
        <w:tc>
          <w:tcPr>
            <w:tcW w:w="1276" w:type="dxa"/>
            <w:tcBorders>
              <w:top w:val="nil"/>
              <w:left w:val="nil"/>
              <w:bottom w:val="single" w:color="auto" w:sz="4" w:space="0"/>
              <w:right w:val="single" w:color="auto" w:sz="4" w:space="0"/>
            </w:tcBorders>
            <w:vAlign w:val="center"/>
          </w:tcPr>
          <w:p w14:paraId="26F60DF0">
            <w:pPr>
              <w:widowControl/>
              <w:jc w:val="center"/>
              <w:rPr>
                <w:rFonts w:hAnsi="宋体"/>
                <w:color w:val="auto"/>
                <w:sz w:val="21"/>
                <w:szCs w:val="21"/>
                <w:highlight w:val="none"/>
              </w:rPr>
            </w:pPr>
            <w:r>
              <w:rPr>
                <w:rFonts w:hAnsi="宋体"/>
                <w:color w:val="auto"/>
                <w:sz w:val="21"/>
                <w:szCs w:val="21"/>
                <w:highlight w:val="none"/>
              </w:rPr>
              <w:t>便携式应急照明灯</w:t>
            </w:r>
          </w:p>
        </w:tc>
        <w:tc>
          <w:tcPr>
            <w:tcW w:w="1347" w:type="dxa"/>
            <w:tcBorders>
              <w:top w:val="nil"/>
              <w:left w:val="nil"/>
              <w:bottom w:val="single" w:color="auto" w:sz="4" w:space="0"/>
              <w:right w:val="single" w:color="auto" w:sz="4" w:space="0"/>
            </w:tcBorders>
            <w:vAlign w:val="center"/>
          </w:tcPr>
          <w:p w14:paraId="6DEC5B5B">
            <w:pPr>
              <w:widowControl/>
              <w:jc w:val="center"/>
              <w:rPr>
                <w:rFonts w:hAnsi="宋体"/>
                <w:color w:val="auto"/>
                <w:sz w:val="21"/>
                <w:szCs w:val="21"/>
                <w:highlight w:val="none"/>
              </w:rPr>
            </w:pPr>
            <w:r>
              <w:rPr>
                <w:rFonts w:hAnsi="宋体"/>
                <w:color w:val="auto"/>
                <w:sz w:val="21"/>
                <w:szCs w:val="21"/>
                <w:highlight w:val="none"/>
              </w:rPr>
              <w:t>太仓应急(056)</w:t>
            </w:r>
          </w:p>
        </w:tc>
        <w:tc>
          <w:tcPr>
            <w:tcW w:w="1239" w:type="dxa"/>
            <w:tcBorders>
              <w:top w:val="nil"/>
              <w:left w:val="nil"/>
              <w:bottom w:val="single" w:color="auto" w:sz="4" w:space="0"/>
              <w:right w:val="single" w:color="auto" w:sz="4" w:space="0"/>
            </w:tcBorders>
            <w:vAlign w:val="center"/>
          </w:tcPr>
          <w:p w14:paraId="71E8DFE7">
            <w:pPr>
              <w:widowControl/>
              <w:jc w:val="center"/>
              <w:rPr>
                <w:rFonts w:hAnsi="宋体"/>
                <w:color w:val="auto"/>
                <w:sz w:val="21"/>
                <w:szCs w:val="21"/>
                <w:highlight w:val="none"/>
              </w:rPr>
            </w:pPr>
            <w:r>
              <w:rPr>
                <w:rFonts w:hAnsi="宋体"/>
                <w:color w:val="auto"/>
                <w:sz w:val="21"/>
                <w:szCs w:val="21"/>
                <w:highlight w:val="none"/>
              </w:rPr>
              <w:t>　</w:t>
            </w:r>
          </w:p>
        </w:tc>
        <w:tc>
          <w:tcPr>
            <w:tcW w:w="532" w:type="dxa"/>
            <w:tcBorders>
              <w:top w:val="nil"/>
              <w:left w:val="nil"/>
              <w:bottom w:val="single" w:color="auto" w:sz="4" w:space="0"/>
              <w:right w:val="single" w:color="auto" w:sz="4" w:space="0"/>
            </w:tcBorders>
            <w:vAlign w:val="center"/>
          </w:tcPr>
          <w:p w14:paraId="2632B4F3">
            <w:pPr>
              <w:widowControl/>
              <w:jc w:val="center"/>
              <w:rPr>
                <w:rFonts w:hAnsi="宋体"/>
                <w:color w:val="auto"/>
                <w:sz w:val="21"/>
                <w:szCs w:val="21"/>
                <w:highlight w:val="none"/>
              </w:rPr>
            </w:pPr>
            <w:r>
              <w:rPr>
                <w:rFonts w:hAnsi="宋体"/>
                <w:color w:val="auto"/>
                <w:sz w:val="21"/>
                <w:szCs w:val="21"/>
                <w:highlight w:val="none"/>
              </w:rPr>
              <w:t>1</w:t>
            </w:r>
          </w:p>
        </w:tc>
        <w:tc>
          <w:tcPr>
            <w:tcW w:w="1266" w:type="dxa"/>
            <w:tcBorders>
              <w:top w:val="nil"/>
              <w:left w:val="nil"/>
              <w:bottom w:val="single" w:color="auto" w:sz="4" w:space="0"/>
              <w:right w:val="single" w:color="auto" w:sz="4" w:space="0"/>
            </w:tcBorders>
            <w:vAlign w:val="center"/>
          </w:tcPr>
          <w:p w14:paraId="3651BA50">
            <w:pPr>
              <w:widowControl/>
              <w:jc w:val="center"/>
              <w:rPr>
                <w:rFonts w:hAnsi="宋体"/>
                <w:color w:val="auto"/>
                <w:sz w:val="21"/>
                <w:szCs w:val="21"/>
                <w:highlight w:val="none"/>
              </w:rPr>
            </w:pPr>
            <w:r>
              <w:rPr>
                <w:rFonts w:hAnsi="宋体"/>
                <w:color w:val="auto"/>
                <w:sz w:val="21"/>
                <w:szCs w:val="21"/>
                <w:highlight w:val="none"/>
              </w:rPr>
              <w:t>　</w:t>
            </w:r>
          </w:p>
        </w:tc>
        <w:tc>
          <w:tcPr>
            <w:tcW w:w="1143" w:type="dxa"/>
            <w:tcBorders>
              <w:top w:val="nil"/>
              <w:left w:val="nil"/>
              <w:bottom w:val="single" w:color="auto" w:sz="4" w:space="0"/>
              <w:right w:val="single" w:color="auto" w:sz="4" w:space="0"/>
            </w:tcBorders>
            <w:vAlign w:val="center"/>
          </w:tcPr>
          <w:p w14:paraId="2462D9EA">
            <w:pPr>
              <w:widowControl/>
              <w:jc w:val="center"/>
              <w:rPr>
                <w:rFonts w:hAnsi="宋体"/>
                <w:color w:val="auto"/>
                <w:sz w:val="21"/>
                <w:szCs w:val="21"/>
                <w:highlight w:val="none"/>
              </w:rPr>
            </w:pPr>
            <w:r>
              <w:rPr>
                <w:rFonts w:hAnsi="宋体"/>
                <w:color w:val="auto"/>
                <w:sz w:val="21"/>
                <w:szCs w:val="21"/>
                <w:highlight w:val="none"/>
              </w:rPr>
              <w:t>　</w:t>
            </w:r>
          </w:p>
        </w:tc>
        <w:tc>
          <w:tcPr>
            <w:tcW w:w="1424" w:type="dxa"/>
            <w:tcBorders>
              <w:top w:val="nil"/>
              <w:left w:val="nil"/>
              <w:bottom w:val="single" w:color="auto" w:sz="4" w:space="0"/>
              <w:right w:val="single" w:color="auto" w:sz="4" w:space="0"/>
            </w:tcBorders>
            <w:noWrap/>
            <w:vAlign w:val="center"/>
          </w:tcPr>
          <w:p w14:paraId="023BE361">
            <w:pPr>
              <w:widowControl/>
              <w:jc w:val="center"/>
              <w:rPr>
                <w:rFonts w:hAnsi="宋体"/>
                <w:color w:val="auto"/>
                <w:sz w:val="21"/>
                <w:szCs w:val="21"/>
                <w:highlight w:val="none"/>
              </w:rPr>
            </w:pPr>
            <w:r>
              <w:rPr>
                <w:rFonts w:hAnsi="宋体"/>
                <w:color w:val="auto"/>
                <w:sz w:val="21"/>
                <w:szCs w:val="21"/>
                <w:highlight w:val="none"/>
              </w:rPr>
              <w:t>2019年1月</w:t>
            </w:r>
          </w:p>
        </w:tc>
        <w:tc>
          <w:tcPr>
            <w:tcW w:w="812" w:type="dxa"/>
            <w:tcBorders>
              <w:top w:val="nil"/>
              <w:left w:val="nil"/>
              <w:bottom w:val="single" w:color="auto" w:sz="4" w:space="0"/>
              <w:right w:val="single" w:color="auto" w:sz="4" w:space="0"/>
            </w:tcBorders>
            <w:vAlign w:val="center"/>
          </w:tcPr>
          <w:p w14:paraId="65AF9D5B">
            <w:pPr>
              <w:widowControl/>
              <w:jc w:val="center"/>
              <w:rPr>
                <w:rFonts w:hAnsi="宋体"/>
                <w:color w:val="auto"/>
                <w:sz w:val="21"/>
                <w:szCs w:val="21"/>
                <w:highlight w:val="none"/>
              </w:rPr>
            </w:pPr>
            <w:r>
              <w:rPr>
                <w:rFonts w:hAnsi="宋体"/>
                <w:color w:val="auto"/>
                <w:sz w:val="21"/>
                <w:szCs w:val="21"/>
                <w:highlight w:val="none"/>
              </w:rPr>
              <w:t>2</w:t>
            </w:r>
          </w:p>
        </w:tc>
      </w:tr>
    </w:tbl>
    <w:p w14:paraId="78FE808A">
      <w:pPr>
        <w:snapToGrid w:val="0"/>
        <w:spacing w:line="360" w:lineRule="auto"/>
        <w:ind w:firstLine="482"/>
        <w:rPr>
          <w:rFonts w:hAnsi="宋体"/>
          <w:b/>
          <w:bCs/>
          <w:color w:val="auto"/>
          <w:sz w:val="24"/>
          <w:szCs w:val="24"/>
          <w:highlight w:val="none"/>
        </w:rPr>
      </w:pPr>
      <w:r>
        <w:rPr>
          <w:rFonts w:hint="eastAsia" w:hAnsi="宋体"/>
          <w:b/>
          <w:bCs/>
          <w:color w:val="auto"/>
          <w:sz w:val="24"/>
          <w:szCs w:val="24"/>
          <w:highlight w:val="none"/>
        </w:rPr>
        <w:t>五、服务要求</w:t>
      </w:r>
    </w:p>
    <w:p w14:paraId="60E12A48">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（一）作业要求：</w:t>
      </w:r>
    </w:p>
    <w:p w14:paraId="3FDDB647">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1、路面、桥面整洁无杂物；分隔带无杂物、土方平整；人行道板无杂草；路边无明显石子、沙土。</w:t>
      </w:r>
    </w:p>
    <w:p w14:paraId="62E00A21">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2、路肩、边坡、边沟、绿化带、林带范围内无杂物、垃圾、堆积物及种植物等；边沟（明、暗）无淤积、排水通畅；路肩垃圾桶周边干净整洁；土路肩、道口平整，无车辙印；路肩林带无新增种植物。</w:t>
      </w:r>
    </w:p>
    <w:p w14:paraId="4DB168D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3、清理、疏通中隔带排水槽、路肩泄水槽；路面无积水；由于路肩土过高造成积水的，应开设排水沟。</w:t>
      </w:r>
    </w:p>
    <w:p w14:paraId="5698F2D7">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4、桥梁锥坡及周边无明显杂物、杂草等；桥梁泄水孔畅通，桥面无积水，伸缩缝无杂物；桥面无沉积沙土，桥护栏（包括防撞护栏）下无杂草、砂石。</w:t>
      </w:r>
    </w:p>
    <w:p w14:paraId="20136D87">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5、里程碑、轮廓标、百米桩、警示桩、警示牌、桥墩柱、栏杆、防撞护栏、路灯杆、红绿灯杆等沿线安保设施应保持整洁；及时扶正歪倒安保设施；沿线设施上无小广告。</w:t>
      </w:r>
    </w:p>
    <w:p w14:paraId="38A46D8B">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6、保洁员上路穿着统一发放的安全标志服；路面杂物应集中处理，不得随意抛洒。</w:t>
      </w:r>
    </w:p>
    <w:p w14:paraId="51149914">
      <w:pPr>
        <w:spacing w:line="360" w:lineRule="auto"/>
        <w:ind w:firstLine="482"/>
        <w:rPr>
          <w:rFonts w:hAnsi="宋体" w:cs="仿宋"/>
          <w:color w:val="auto"/>
          <w:sz w:val="24"/>
          <w:szCs w:val="24"/>
          <w:highlight w:val="none"/>
        </w:rPr>
      </w:pPr>
      <w:r>
        <w:rPr>
          <w:rFonts w:hint="eastAsia" w:hAnsi="宋体" w:cs="仿宋"/>
          <w:color w:val="auto"/>
          <w:sz w:val="24"/>
          <w:szCs w:val="24"/>
          <w:highlight w:val="none"/>
        </w:rPr>
        <w:t>7、机械清扫：供应商组织机械清扫组对范围内公路进行全面机械化清扫，部分清扫车辆由采购人提供，供应商为提高工作效率，可配备相关作业车辆。供应商负责对作业车辆进行保洁维护管理工作，保持外观整洁、车身完好，做好停车场所的保洁维护管理。</w:t>
      </w:r>
    </w:p>
    <w:p w14:paraId="641BF6FF">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8、公路综合养护、护栏清洗、道路冲洗及清扫垃圾分捡:</w:t>
      </w:r>
    </w:p>
    <w:p w14:paraId="67B61B97">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（1）综合养护：沥青路面坑槽修补，处理波浪、局部龟裂、啃边等病害。及时发现并处治裂缝、坑槽、松散、沉陷、车辙等病害,与原路面接合的界面顺直、紧密、耐久,达到平整、美观等效果。</w:t>
      </w:r>
    </w:p>
    <w:p w14:paraId="0F1C04C1">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（2）道路冲洗、防护栏清洗：清除路面泥土杂物、积沙、污染物、散落物等；排除路面积水,疏通路面排水；清洗道路沿线的防护栏，保持沥青路面和护栏的干净、整洁。</w:t>
      </w:r>
    </w:p>
    <w:p w14:paraId="44871F7C">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3）清扫垃圾分捡：对清扫车辆收集的垃圾进行人工分捡,将可回收垃圾（如塑料瓶、易拉罐、废纸盒、废金属）、有害垃圾（如废电池、废灯管）、其它垃圾（如废弃塑料袋、破旧衣物）、大件\特殊垃圾（如路面专属的树枝、树叶、木块）等，进行分类存放，避免污染。</w:t>
      </w:r>
    </w:p>
    <w:p w14:paraId="5F633F84">
      <w:pPr>
        <w:spacing w:line="360" w:lineRule="auto"/>
        <w:ind w:firstLine="482"/>
        <w:rPr>
          <w:color w:val="auto"/>
          <w:highlight w:val="none"/>
        </w:rPr>
      </w:pPr>
      <w:r>
        <w:rPr>
          <w:rFonts w:hint="eastAsia" w:hAnsi="宋体" w:cs="仿宋"/>
          <w:color w:val="auto"/>
          <w:sz w:val="24"/>
          <w:szCs w:val="24"/>
          <w:highlight w:val="none"/>
        </w:rPr>
        <w:t>（4）垃圾处理：人工保洁</w:t>
      </w:r>
      <w:r>
        <w:rPr>
          <w:rFonts w:hAnsi="宋体" w:cs="仿宋"/>
          <w:color w:val="auto"/>
          <w:sz w:val="24"/>
          <w:szCs w:val="24"/>
          <w:highlight w:val="none"/>
        </w:rPr>
        <w:t>不得将垃圾扫入绿地、护坡、排水篦、雨水井、河道或非正规区域；严禁现场焚烧、随意填埋</w:t>
      </w:r>
      <w:r>
        <w:rPr>
          <w:rFonts w:hint="eastAsia" w:hAnsi="宋体" w:cs="仿宋"/>
          <w:color w:val="auto"/>
          <w:sz w:val="24"/>
          <w:szCs w:val="24"/>
          <w:highlight w:val="none"/>
        </w:rPr>
        <w:t>。</w:t>
      </w:r>
      <w:r>
        <w:rPr>
          <w:rFonts w:hint="eastAsia"/>
          <w:color w:val="auto"/>
          <w:highlight w:val="none"/>
        </w:rPr>
        <w:t>机械清扫产生的垃圾应由中标人及时处理。</w:t>
      </w:r>
    </w:p>
    <w:p w14:paraId="0D6C6EE8">
      <w:pPr>
        <w:spacing w:line="360" w:lineRule="auto"/>
        <w:ind w:firstLine="482"/>
        <w:rPr>
          <w:rFonts w:hAnsi="宋体" w:cs="仿宋"/>
          <w:color w:val="auto"/>
          <w:sz w:val="24"/>
          <w:szCs w:val="24"/>
          <w:highlight w:val="none"/>
        </w:rPr>
      </w:pPr>
      <w:r>
        <w:rPr>
          <w:rFonts w:hint="eastAsia" w:hAnsi="宋体" w:cs="仿宋"/>
          <w:color w:val="auto"/>
          <w:sz w:val="24"/>
          <w:szCs w:val="24"/>
          <w:highlight w:val="none"/>
        </w:rPr>
        <w:t>9、</w:t>
      </w:r>
      <w:r>
        <w:rPr>
          <w:rFonts w:hAnsi="宋体" w:cs="仿宋"/>
          <w:color w:val="auto"/>
          <w:sz w:val="24"/>
          <w:szCs w:val="24"/>
          <w:highlight w:val="none"/>
        </w:rPr>
        <w:t>公路养护应急基地</w:t>
      </w:r>
      <w:r>
        <w:rPr>
          <w:rFonts w:hint="eastAsia" w:hAnsi="宋体" w:cs="仿宋"/>
          <w:color w:val="auto"/>
          <w:sz w:val="24"/>
          <w:szCs w:val="24"/>
          <w:highlight w:val="none"/>
        </w:rPr>
        <w:t>运营：</w:t>
      </w:r>
      <w:r>
        <w:rPr>
          <w:rFonts w:hAnsi="宋体" w:cs="仿宋"/>
          <w:color w:val="auto"/>
          <w:sz w:val="24"/>
          <w:szCs w:val="24"/>
          <w:highlight w:val="none"/>
        </w:rPr>
        <w:t>承担全流程运营值守、设备</w:t>
      </w:r>
      <w:r>
        <w:rPr>
          <w:rFonts w:hint="eastAsia" w:hAnsi="宋体" w:cs="仿宋"/>
          <w:color w:val="auto"/>
          <w:sz w:val="24"/>
          <w:szCs w:val="24"/>
          <w:highlight w:val="none"/>
        </w:rPr>
        <w:t>保养、</w:t>
      </w:r>
      <w:r>
        <w:rPr>
          <w:rFonts w:hAnsi="宋体" w:cs="仿宋"/>
          <w:color w:val="auto"/>
          <w:sz w:val="24"/>
          <w:szCs w:val="24"/>
          <w:highlight w:val="none"/>
        </w:rPr>
        <w:t>物资管护、应急处置、日常养护辅助</w:t>
      </w:r>
      <w:r>
        <w:rPr>
          <w:rFonts w:hint="eastAsia" w:hAnsi="宋体" w:cs="仿宋"/>
          <w:color w:val="auto"/>
          <w:sz w:val="24"/>
          <w:szCs w:val="24"/>
          <w:highlight w:val="none"/>
        </w:rPr>
        <w:t>、污水处理及光伏发电等设备的日常运维。</w:t>
      </w:r>
      <w:r>
        <w:rPr>
          <w:rFonts w:hAnsi="宋体" w:cs="仿宋"/>
          <w:color w:val="auto"/>
          <w:sz w:val="24"/>
          <w:szCs w:val="24"/>
          <w:highlight w:val="none"/>
        </w:rPr>
        <w:t>承担基地水电网络运维、零星维修等全流程后勤服务，与应急运营、资产管护形成闭环，确保基地正常运转</w:t>
      </w:r>
      <w:r>
        <w:rPr>
          <w:rFonts w:hint="eastAsia" w:hAnsi="宋体" w:cs="仿宋"/>
          <w:color w:val="auto"/>
          <w:sz w:val="24"/>
          <w:szCs w:val="24"/>
          <w:highlight w:val="none"/>
        </w:rPr>
        <w:t>。</w:t>
      </w:r>
    </w:p>
    <w:p w14:paraId="160185B6">
      <w:pPr>
        <w:spacing w:line="360" w:lineRule="auto"/>
        <w:ind w:firstLine="482"/>
        <w:rPr>
          <w:rFonts w:hAnsi="宋体" w:cs="Times New Roman"/>
          <w:b/>
          <w:bCs/>
          <w:color w:val="auto"/>
          <w:sz w:val="24"/>
          <w:szCs w:val="24"/>
          <w:highlight w:val="none"/>
        </w:rPr>
      </w:pPr>
      <w:r>
        <w:rPr>
          <w:rFonts w:hint="eastAsia" w:hAnsi="宋体" w:cs="仿宋"/>
          <w:color w:val="auto"/>
          <w:sz w:val="24"/>
          <w:szCs w:val="24"/>
          <w:highlight w:val="none"/>
        </w:rPr>
        <w:t>10、公路突发事件处置：对突发事件，造成道路环境严重污染和阻碍通行严重的事件（包括台风、雨、雪、冰冻以及交通事故灾害等事件）进行应急处置。</w:t>
      </w:r>
    </w:p>
    <w:p w14:paraId="08FA4CB1">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（二）养护保洁车辆要求</w:t>
      </w:r>
    </w:p>
    <w:p w14:paraId="4F1E579E">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1、甲供车辆仅限用于合同约定的保洁养护作业（如清运、道路清扫、安全保障等），严禁挪作私用、转借、转租或用于非保洁业务。</w:t>
      </w:r>
    </w:p>
    <w:p w14:paraId="5077A6F7">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2、中标人负责甲供车辆日常使用管理、清洁维护及安全责任，采购人保留所有权并监督使用情况。</w:t>
      </w:r>
    </w:p>
    <w:p w14:paraId="664388F2">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3、服务人员应遵守交通法规，持证上岗（机动车类），严禁违规操作，确保人员与财产安全。</w:t>
      </w:r>
    </w:p>
    <w:p w14:paraId="50B4B8A1">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4、为提高作业效率或应对甲供车辆突发故障，投标人可在上表基础上自行配备相关车辆，如满足整备质量达3吨及以上中型洗扫车、整备质量达8吨及以上洗扫车、扫路车、小型高压冲洗车、总质量7吨以上雾炮车等，电动三轮保洁车建议约每3人配置一辆。</w:t>
      </w:r>
    </w:p>
    <w:p w14:paraId="3F711DF2">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（三）人员要求</w:t>
      </w:r>
    </w:p>
    <w:tbl>
      <w:tblPr>
        <w:tblStyle w:val="430"/>
        <w:tblW w:w="9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3"/>
        <w:gridCol w:w="2268"/>
        <w:gridCol w:w="6520"/>
      </w:tblGrid>
      <w:tr w14:paraId="27E7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jc w:val="center"/>
        </w:trPr>
        <w:tc>
          <w:tcPr>
            <w:tcW w:w="793" w:type="dxa"/>
            <w:vAlign w:val="center"/>
          </w:tcPr>
          <w:p w14:paraId="0250823D">
            <w:pPr>
              <w:spacing w:line="360" w:lineRule="auto"/>
              <w:jc w:val="center"/>
              <w:rPr>
                <w:rFonts w:hAnsi="宋体"/>
                <w:b/>
                <w:bCs/>
                <w:color w:val="auto"/>
                <w:spacing w:val="-5"/>
                <w:sz w:val="24"/>
                <w:szCs w:val="24"/>
                <w:highlight w:val="none"/>
                <w:lang w:eastAsia="en-US"/>
              </w:rPr>
            </w:pPr>
            <w:r>
              <w:rPr>
                <w:rFonts w:hint="eastAsia" w:hAnsi="宋体"/>
                <w:b/>
                <w:bCs/>
                <w:color w:val="auto"/>
                <w:spacing w:val="-5"/>
                <w:sz w:val="24"/>
                <w:szCs w:val="24"/>
                <w:highlight w:val="none"/>
                <w:lang w:eastAsia="en-US"/>
              </w:rPr>
              <w:t>序号</w:t>
            </w:r>
          </w:p>
        </w:tc>
        <w:tc>
          <w:tcPr>
            <w:tcW w:w="2268" w:type="dxa"/>
            <w:vAlign w:val="center"/>
          </w:tcPr>
          <w:p w14:paraId="00D567E5">
            <w:pPr>
              <w:spacing w:line="360" w:lineRule="auto"/>
              <w:jc w:val="center"/>
              <w:rPr>
                <w:rFonts w:hAnsi="宋体"/>
                <w:b/>
                <w:bCs/>
                <w:color w:val="auto"/>
                <w:sz w:val="24"/>
                <w:szCs w:val="24"/>
                <w:highlight w:val="none"/>
                <w:lang w:eastAsia="en-US"/>
              </w:rPr>
            </w:pPr>
            <w:r>
              <w:rPr>
                <w:rFonts w:hint="eastAsia" w:hAnsi="宋体"/>
                <w:b/>
                <w:bCs/>
                <w:color w:val="auto"/>
                <w:spacing w:val="-5"/>
                <w:sz w:val="24"/>
                <w:szCs w:val="24"/>
                <w:highlight w:val="none"/>
                <w:lang w:eastAsia="en-US"/>
              </w:rPr>
              <w:t>作业内容/岗位</w:t>
            </w:r>
          </w:p>
        </w:tc>
        <w:tc>
          <w:tcPr>
            <w:tcW w:w="6520" w:type="dxa"/>
            <w:vAlign w:val="center"/>
          </w:tcPr>
          <w:p w14:paraId="080E3179">
            <w:pPr>
              <w:spacing w:line="360" w:lineRule="auto"/>
              <w:jc w:val="center"/>
              <w:rPr>
                <w:rFonts w:hAnsi="宋体"/>
                <w:b/>
                <w:bCs/>
                <w:color w:val="auto"/>
                <w:sz w:val="24"/>
                <w:szCs w:val="24"/>
                <w:highlight w:val="none"/>
                <w:lang w:eastAsia="en-US"/>
              </w:rPr>
            </w:pPr>
            <w:r>
              <w:rPr>
                <w:rFonts w:hint="eastAsia" w:hAnsi="宋体"/>
                <w:b/>
                <w:bCs/>
                <w:color w:val="auto"/>
                <w:sz w:val="24"/>
                <w:szCs w:val="24"/>
                <w:highlight w:val="none"/>
                <w:lang w:eastAsia="en-US"/>
              </w:rPr>
              <w:t>备注</w:t>
            </w:r>
          </w:p>
        </w:tc>
      </w:tr>
      <w:tr w14:paraId="43BDA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jc w:val="center"/>
        </w:trPr>
        <w:tc>
          <w:tcPr>
            <w:tcW w:w="793" w:type="dxa"/>
            <w:vAlign w:val="center"/>
          </w:tcPr>
          <w:p w14:paraId="2E41053A">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1</w:t>
            </w:r>
          </w:p>
        </w:tc>
        <w:tc>
          <w:tcPr>
            <w:tcW w:w="2268" w:type="dxa"/>
            <w:vAlign w:val="center"/>
          </w:tcPr>
          <w:p w14:paraId="69B978D3">
            <w:pPr>
              <w:spacing w:line="360" w:lineRule="auto"/>
              <w:ind w:right="174"/>
              <w:jc w:val="center"/>
              <w:rPr>
                <w:rFonts w:hAnsi="宋体"/>
                <w:color w:val="auto"/>
                <w:sz w:val="24"/>
                <w:szCs w:val="24"/>
                <w:highlight w:val="none"/>
                <w:lang w:eastAsia="en-US"/>
              </w:rPr>
            </w:pPr>
            <w:r>
              <w:rPr>
                <w:rFonts w:hint="eastAsia" w:hAnsi="宋体"/>
                <w:color w:val="auto"/>
                <w:spacing w:val="2"/>
                <w:sz w:val="24"/>
                <w:szCs w:val="24"/>
                <w:highlight w:val="none"/>
                <w:lang w:eastAsia="en-US"/>
              </w:rPr>
              <w:t xml:space="preserve"> 机械化清扫</w:t>
            </w:r>
          </w:p>
        </w:tc>
        <w:tc>
          <w:tcPr>
            <w:tcW w:w="6520" w:type="dxa"/>
            <w:tcBorders>
              <w:bottom w:val="nil"/>
            </w:tcBorders>
            <w:vAlign w:val="center"/>
          </w:tcPr>
          <w:p w14:paraId="4ED33BEB">
            <w:pPr>
              <w:spacing w:line="360" w:lineRule="auto"/>
              <w:ind w:left="220" w:leftChars="100" w:right="182"/>
              <w:jc w:val="both"/>
              <w:rPr>
                <w:rFonts w:hAnsi="宋体"/>
                <w:color w:val="auto"/>
                <w:sz w:val="24"/>
                <w:szCs w:val="24"/>
                <w:highlight w:val="none"/>
                <w:lang w:eastAsia="zh-CN"/>
              </w:rPr>
            </w:pPr>
            <w:r>
              <w:rPr>
                <w:rFonts w:hint="eastAsia" w:hAnsi="宋体"/>
                <w:color w:val="auto"/>
                <w:sz w:val="24"/>
                <w:szCs w:val="24"/>
                <w:highlight w:val="none"/>
                <w:lang w:eastAsia="zh-CN"/>
              </w:rPr>
              <w:t>驾驶员按需配置人数，具有相应准驾资格，无妨碍安全驾驶疾病；所有人员能熟练操作车辆各种设备。</w:t>
            </w:r>
          </w:p>
        </w:tc>
      </w:tr>
      <w:tr w14:paraId="32AB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793" w:type="dxa"/>
            <w:vAlign w:val="center"/>
          </w:tcPr>
          <w:p w14:paraId="2BB33210">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2</w:t>
            </w:r>
          </w:p>
        </w:tc>
        <w:tc>
          <w:tcPr>
            <w:tcW w:w="2268" w:type="dxa"/>
            <w:vAlign w:val="center"/>
          </w:tcPr>
          <w:p w14:paraId="02B00091">
            <w:pPr>
              <w:spacing w:line="360" w:lineRule="auto"/>
              <w:ind w:right="174"/>
              <w:jc w:val="center"/>
              <w:rPr>
                <w:rFonts w:hAnsi="宋体"/>
                <w:color w:val="auto"/>
                <w:sz w:val="24"/>
                <w:szCs w:val="24"/>
                <w:highlight w:val="none"/>
                <w:lang w:eastAsia="zh-CN"/>
              </w:rPr>
            </w:pPr>
            <w:r>
              <w:rPr>
                <w:rFonts w:hint="eastAsia" w:hAnsi="宋体"/>
                <w:color w:val="auto"/>
                <w:spacing w:val="3"/>
                <w:sz w:val="24"/>
                <w:szCs w:val="24"/>
                <w:highlight w:val="none"/>
                <w:lang w:eastAsia="zh-CN"/>
              </w:rPr>
              <w:t>路面</w:t>
            </w:r>
            <w:r>
              <w:rPr>
                <w:rFonts w:hint="eastAsia" w:hAnsi="宋体"/>
                <w:color w:val="auto"/>
                <w:spacing w:val="2"/>
                <w:sz w:val="24"/>
                <w:szCs w:val="24"/>
                <w:highlight w:val="none"/>
                <w:lang w:eastAsia="zh-CN"/>
              </w:rPr>
              <w:t>冲洗洒水、防护栏清洗</w:t>
            </w:r>
          </w:p>
        </w:tc>
        <w:tc>
          <w:tcPr>
            <w:tcW w:w="6520" w:type="dxa"/>
            <w:vAlign w:val="center"/>
          </w:tcPr>
          <w:p w14:paraId="1105D5D6">
            <w:pPr>
              <w:spacing w:line="360" w:lineRule="auto"/>
              <w:ind w:left="220" w:leftChars="100" w:right="182"/>
              <w:jc w:val="both"/>
              <w:rPr>
                <w:rFonts w:hAnsi="宋体"/>
                <w:color w:val="auto"/>
                <w:sz w:val="24"/>
                <w:szCs w:val="24"/>
                <w:highlight w:val="none"/>
                <w:lang w:eastAsia="zh-CN"/>
              </w:rPr>
            </w:pPr>
            <w:r>
              <w:rPr>
                <w:rFonts w:hint="eastAsia" w:hAnsi="宋体"/>
                <w:color w:val="auto"/>
                <w:sz w:val="24"/>
                <w:szCs w:val="24"/>
                <w:highlight w:val="none"/>
                <w:lang w:eastAsia="zh-CN"/>
              </w:rPr>
              <w:t>驾驶员按需配置人数，具有相应准驾资格，无妨碍安全驾驶疾病；所有人员能熟练操作车辆各种设备。</w:t>
            </w:r>
          </w:p>
        </w:tc>
      </w:tr>
      <w:tr w14:paraId="14872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793" w:type="dxa"/>
            <w:vAlign w:val="center"/>
          </w:tcPr>
          <w:p w14:paraId="3E4D04C8">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3</w:t>
            </w:r>
          </w:p>
        </w:tc>
        <w:tc>
          <w:tcPr>
            <w:tcW w:w="2268" w:type="dxa"/>
            <w:vAlign w:val="center"/>
          </w:tcPr>
          <w:p w14:paraId="346BCCF7">
            <w:pPr>
              <w:spacing w:line="360" w:lineRule="auto"/>
              <w:ind w:right="174"/>
              <w:jc w:val="center"/>
              <w:rPr>
                <w:rFonts w:hAnsi="宋体"/>
                <w:color w:val="auto"/>
                <w:spacing w:val="2"/>
                <w:sz w:val="24"/>
                <w:szCs w:val="24"/>
                <w:highlight w:val="none"/>
                <w:lang w:eastAsia="zh-CN"/>
              </w:rPr>
            </w:pPr>
            <w:r>
              <w:rPr>
                <w:rFonts w:hint="eastAsia" w:hAnsi="宋体"/>
                <w:color w:val="auto"/>
                <w:spacing w:val="2"/>
                <w:sz w:val="24"/>
                <w:szCs w:val="24"/>
                <w:highlight w:val="none"/>
                <w:lang w:eastAsia="zh-CN"/>
              </w:rPr>
              <w:t>垃圾分捡及处理、日常综合养护</w:t>
            </w:r>
          </w:p>
        </w:tc>
        <w:tc>
          <w:tcPr>
            <w:tcW w:w="6520" w:type="dxa"/>
            <w:vAlign w:val="center"/>
          </w:tcPr>
          <w:p w14:paraId="40BC024D">
            <w:pPr>
              <w:spacing w:line="360" w:lineRule="auto"/>
              <w:ind w:left="220" w:leftChars="100" w:right="182"/>
              <w:rPr>
                <w:rFonts w:hAnsi="宋体"/>
                <w:color w:val="auto"/>
                <w:sz w:val="24"/>
                <w:szCs w:val="24"/>
                <w:highlight w:val="none"/>
                <w:lang w:eastAsia="zh-CN"/>
              </w:rPr>
            </w:pPr>
            <w:r>
              <w:rPr>
                <w:rFonts w:hint="eastAsia" w:hAnsi="宋体"/>
                <w:color w:val="auto"/>
                <w:sz w:val="24"/>
                <w:szCs w:val="24"/>
                <w:highlight w:val="none"/>
                <w:lang w:eastAsia="zh-CN"/>
              </w:rPr>
              <w:t>（1）驾驶员按需配置人数，具有相应准驾资格，无妨碍安全驾驶疾病，能熟练操作保洁车辆各种设备；</w:t>
            </w:r>
          </w:p>
          <w:p w14:paraId="784CD108">
            <w:pPr>
              <w:spacing w:line="360" w:lineRule="auto"/>
              <w:ind w:left="220" w:leftChars="100" w:right="182"/>
              <w:rPr>
                <w:rFonts w:hAnsi="宋体"/>
                <w:color w:val="auto"/>
                <w:sz w:val="24"/>
                <w:szCs w:val="24"/>
                <w:highlight w:val="none"/>
                <w:lang w:eastAsia="zh-CN"/>
              </w:rPr>
            </w:pPr>
            <w:r>
              <w:rPr>
                <w:rFonts w:hint="eastAsia" w:hAnsi="宋体"/>
                <w:color w:val="auto"/>
                <w:sz w:val="24"/>
                <w:szCs w:val="24"/>
                <w:highlight w:val="none"/>
                <w:lang w:eastAsia="zh-CN"/>
              </w:rPr>
              <w:t>（2）辅助岗（垃圾分拣员）：具备垃圾分拣、分类归集及叉车辅助转运、装卸作业能力（持有有效特种设备作业人员证（叉车司机 N1））。</w:t>
            </w:r>
          </w:p>
          <w:p w14:paraId="059C97C9">
            <w:pPr>
              <w:spacing w:line="360" w:lineRule="auto"/>
              <w:ind w:left="220" w:leftChars="100" w:right="182"/>
              <w:rPr>
                <w:rFonts w:hAnsi="宋体"/>
                <w:color w:val="auto"/>
                <w:spacing w:val="1"/>
                <w:sz w:val="24"/>
                <w:szCs w:val="24"/>
                <w:highlight w:val="none"/>
                <w:lang w:eastAsia="zh-CN"/>
              </w:rPr>
            </w:pPr>
            <w:r>
              <w:rPr>
                <w:rFonts w:hint="eastAsia" w:hAnsi="宋体"/>
                <w:color w:val="auto"/>
                <w:sz w:val="24"/>
                <w:szCs w:val="24"/>
                <w:highlight w:val="none"/>
                <w:lang w:eastAsia="zh-CN"/>
              </w:rPr>
              <w:t>（3）其他设备操作人员：</w:t>
            </w:r>
            <w:r>
              <w:rPr>
                <w:rFonts w:hAnsi="宋体"/>
                <w:color w:val="auto"/>
                <w:sz w:val="24"/>
                <w:szCs w:val="24"/>
                <w:highlight w:val="none"/>
                <w:lang w:eastAsia="zh-CN"/>
              </w:rPr>
              <w:t>熟练掌握甲供保洁设备操作流程、启停流程、作业模式切换。能独立完成简易故障初步排查</w:t>
            </w:r>
            <w:r>
              <w:rPr>
                <w:rFonts w:hint="eastAsia" w:hAnsi="宋体"/>
                <w:color w:val="auto"/>
                <w:sz w:val="24"/>
                <w:szCs w:val="24"/>
                <w:highlight w:val="none"/>
                <w:lang w:eastAsia="zh-CN"/>
              </w:rPr>
              <w:t>。</w:t>
            </w:r>
          </w:p>
        </w:tc>
      </w:tr>
      <w:tr w14:paraId="7E587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8" w:hRule="atLeast"/>
          <w:jc w:val="center"/>
        </w:trPr>
        <w:tc>
          <w:tcPr>
            <w:tcW w:w="793" w:type="dxa"/>
            <w:vAlign w:val="center"/>
          </w:tcPr>
          <w:p w14:paraId="66B71D1A">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4</w:t>
            </w:r>
          </w:p>
        </w:tc>
        <w:tc>
          <w:tcPr>
            <w:tcW w:w="2268" w:type="dxa"/>
            <w:vAlign w:val="center"/>
          </w:tcPr>
          <w:p w14:paraId="3F42FA8C">
            <w:pPr>
              <w:spacing w:line="360" w:lineRule="auto"/>
              <w:ind w:right="174"/>
              <w:jc w:val="center"/>
              <w:rPr>
                <w:rFonts w:hAnsi="宋体"/>
                <w:color w:val="auto"/>
                <w:spacing w:val="2"/>
                <w:sz w:val="24"/>
                <w:szCs w:val="24"/>
                <w:highlight w:val="none"/>
                <w:lang w:eastAsia="zh-CN"/>
              </w:rPr>
            </w:pPr>
            <w:r>
              <w:rPr>
                <w:rFonts w:hint="eastAsia" w:hAnsi="宋体"/>
                <w:color w:val="auto"/>
                <w:spacing w:val="2"/>
                <w:sz w:val="24"/>
                <w:szCs w:val="24"/>
                <w:highlight w:val="none"/>
                <w:lang w:eastAsia="zh-CN"/>
              </w:rPr>
              <w:t>保洁人员</w:t>
            </w:r>
          </w:p>
          <w:p w14:paraId="7B8BE776">
            <w:pPr>
              <w:spacing w:line="360" w:lineRule="auto"/>
              <w:ind w:right="174"/>
              <w:jc w:val="center"/>
              <w:rPr>
                <w:rFonts w:hAnsi="宋体"/>
                <w:color w:val="auto"/>
                <w:spacing w:val="2"/>
                <w:sz w:val="24"/>
                <w:szCs w:val="24"/>
                <w:highlight w:val="none"/>
                <w:lang w:eastAsia="zh-CN"/>
              </w:rPr>
            </w:pPr>
            <w:r>
              <w:rPr>
                <w:rFonts w:hint="eastAsia" w:hAnsi="宋体"/>
                <w:color w:val="auto"/>
                <w:spacing w:val="2"/>
                <w:sz w:val="24"/>
                <w:szCs w:val="24"/>
                <w:highlight w:val="none"/>
                <w:lang w:eastAsia="zh-CN"/>
              </w:rPr>
              <w:t>（作业人员）</w:t>
            </w:r>
          </w:p>
        </w:tc>
        <w:tc>
          <w:tcPr>
            <w:tcW w:w="6520" w:type="dxa"/>
            <w:vAlign w:val="center"/>
          </w:tcPr>
          <w:p w14:paraId="5543AC29">
            <w:pPr>
              <w:spacing w:line="360" w:lineRule="auto"/>
              <w:ind w:left="220" w:leftChars="100"/>
              <w:rPr>
                <w:rFonts w:hAnsi="宋体"/>
                <w:color w:val="auto"/>
                <w:spacing w:val="1"/>
                <w:sz w:val="24"/>
                <w:szCs w:val="24"/>
                <w:highlight w:val="none"/>
                <w:lang w:eastAsia="zh-CN"/>
              </w:rPr>
            </w:pPr>
            <w:r>
              <w:rPr>
                <w:rFonts w:hint="eastAsia" w:hAnsi="宋体"/>
                <w:color w:val="auto"/>
                <w:spacing w:val="1"/>
                <w:sz w:val="24"/>
                <w:szCs w:val="24"/>
                <w:highlight w:val="none"/>
                <w:lang w:eastAsia="zh-CN"/>
              </w:rPr>
              <w:t>投标单位根据自身方案自行配置相应电动保洁车、人力保洁车、保洁车辆。</w:t>
            </w:r>
          </w:p>
          <w:p w14:paraId="59903E04">
            <w:pPr>
              <w:spacing w:line="360" w:lineRule="auto"/>
              <w:ind w:left="220" w:leftChars="100"/>
              <w:rPr>
                <w:rFonts w:hAnsi="宋体"/>
                <w:color w:val="auto"/>
                <w:spacing w:val="1"/>
                <w:sz w:val="24"/>
                <w:szCs w:val="24"/>
                <w:highlight w:val="none"/>
                <w:lang w:eastAsia="en-US"/>
              </w:rPr>
            </w:pPr>
            <w:r>
              <w:rPr>
                <w:rFonts w:hint="eastAsia" w:hAnsi="宋体"/>
                <w:color w:val="auto"/>
                <w:sz w:val="24"/>
                <w:szCs w:val="24"/>
                <w:highlight w:val="none"/>
                <w:lang w:eastAsia="zh-CN"/>
              </w:rPr>
              <w:t>▲</w:t>
            </w:r>
            <w:r>
              <w:rPr>
                <w:rFonts w:hint="eastAsia" w:hAnsi="宋体"/>
                <w:color w:val="auto"/>
                <w:spacing w:val="1"/>
                <w:sz w:val="24"/>
                <w:szCs w:val="24"/>
                <w:highlight w:val="none"/>
                <w:lang w:eastAsia="zh-CN"/>
              </w:rPr>
              <w:t>人数要求：</w:t>
            </w:r>
            <w:r>
              <w:rPr>
                <w:rFonts w:hint="eastAsia" w:hAnsi="宋体"/>
                <w:color w:val="auto"/>
                <w:sz w:val="24"/>
                <w:szCs w:val="24"/>
                <w:highlight w:val="none"/>
                <w:lang w:eastAsia="zh-CN"/>
              </w:rPr>
              <w:t>县级道路7</w:t>
            </w:r>
            <w:r>
              <w:rPr>
                <w:rFonts w:hAnsi="宋体"/>
                <w:color w:val="auto"/>
                <w:sz w:val="24"/>
                <w:szCs w:val="24"/>
                <w:highlight w:val="none"/>
                <w:lang w:eastAsia="zh-CN"/>
              </w:rPr>
              <w:t>6</w:t>
            </w:r>
            <w:r>
              <w:rPr>
                <w:rFonts w:hint="eastAsia" w:hAnsi="宋体"/>
                <w:color w:val="auto"/>
                <w:sz w:val="24"/>
                <w:szCs w:val="24"/>
                <w:highlight w:val="none"/>
                <w:lang w:eastAsia="zh-CN"/>
              </w:rPr>
              <w:t>人，国省级道路9</w:t>
            </w:r>
            <w:r>
              <w:rPr>
                <w:rFonts w:hAnsi="宋体"/>
                <w:color w:val="auto"/>
                <w:sz w:val="24"/>
                <w:szCs w:val="24"/>
                <w:highlight w:val="none"/>
                <w:lang w:eastAsia="zh-CN"/>
              </w:rPr>
              <w:t>4</w:t>
            </w:r>
            <w:r>
              <w:rPr>
                <w:rFonts w:hint="eastAsia" w:hAnsi="宋体"/>
                <w:color w:val="auto"/>
                <w:sz w:val="24"/>
                <w:szCs w:val="24"/>
                <w:highlight w:val="none"/>
                <w:lang w:eastAsia="zh-CN"/>
              </w:rPr>
              <w:t>人，均不得超过65周岁。</w:t>
            </w:r>
            <w:r>
              <w:rPr>
                <w:rFonts w:hint="eastAsia" w:hAnsi="宋体"/>
                <w:b/>
                <w:color w:val="auto"/>
                <w:sz w:val="24"/>
                <w:szCs w:val="24"/>
                <w:highlight w:val="none"/>
                <w:lang w:eastAsia="zh-CN"/>
              </w:rPr>
              <w:t>（投标时提供加盖公章的承诺书，此为实质性响应条款，不满足的视为无效响应。</w:t>
            </w:r>
            <w:r>
              <w:rPr>
                <w:rFonts w:hint="eastAsia" w:hAnsi="宋体"/>
                <w:b/>
                <w:color w:val="auto"/>
                <w:sz w:val="24"/>
                <w:szCs w:val="24"/>
                <w:highlight w:val="none"/>
                <w:lang w:eastAsia="en-US"/>
              </w:rPr>
              <w:t>）</w:t>
            </w:r>
          </w:p>
        </w:tc>
      </w:tr>
      <w:tr w14:paraId="12AF5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793" w:type="dxa"/>
            <w:vAlign w:val="center"/>
          </w:tcPr>
          <w:p w14:paraId="2C122B48">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5</w:t>
            </w:r>
          </w:p>
        </w:tc>
        <w:tc>
          <w:tcPr>
            <w:tcW w:w="2268" w:type="dxa"/>
            <w:vAlign w:val="center"/>
          </w:tcPr>
          <w:p w14:paraId="0845018D">
            <w:pPr>
              <w:spacing w:line="360" w:lineRule="auto"/>
              <w:ind w:right="174"/>
              <w:jc w:val="center"/>
              <w:rPr>
                <w:rFonts w:hAnsi="宋体"/>
                <w:color w:val="auto"/>
                <w:spacing w:val="2"/>
                <w:sz w:val="24"/>
                <w:szCs w:val="24"/>
                <w:highlight w:val="none"/>
                <w:lang w:eastAsia="en-US"/>
              </w:rPr>
            </w:pPr>
            <w:r>
              <w:rPr>
                <w:rFonts w:hint="eastAsia" w:hAnsi="宋体"/>
                <w:color w:val="auto"/>
                <w:spacing w:val="2"/>
                <w:sz w:val="24"/>
                <w:szCs w:val="24"/>
                <w:highlight w:val="none"/>
                <w:lang w:eastAsia="en-US"/>
              </w:rPr>
              <w:t>安全管理人员</w:t>
            </w:r>
          </w:p>
        </w:tc>
        <w:tc>
          <w:tcPr>
            <w:tcW w:w="6520" w:type="dxa"/>
            <w:vAlign w:val="center"/>
          </w:tcPr>
          <w:p w14:paraId="46928956">
            <w:pPr>
              <w:spacing w:line="360" w:lineRule="auto"/>
              <w:ind w:left="220" w:leftChars="100" w:right="182"/>
              <w:jc w:val="both"/>
              <w:rPr>
                <w:rFonts w:hAnsi="宋体"/>
                <w:b/>
                <w:bCs/>
                <w:color w:val="auto"/>
                <w:sz w:val="24"/>
                <w:szCs w:val="24"/>
                <w:highlight w:val="none"/>
                <w:lang w:eastAsia="en-US"/>
              </w:rPr>
            </w:pPr>
            <w:r>
              <w:rPr>
                <w:rFonts w:hint="eastAsia" w:hAnsi="宋体"/>
                <w:color w:val="auto"/>
                <w:sz w:val="24"/>
                <w:szCs w:val="24"/>
                <w:highlight w:val="none"/>
                <w:lang w:eastAsia="zh-CN"/>
              </w:rPr>
              <w:t>▲</w:t>
            </w:r>
            <w:r>
              <w:rPr>
                <w:rFonts w:hint="eastAsia" w:hAnsi="宋体"/>
                <w:b/>
                <w:bCs/>
                <w:color w:val="auto"/>
                <w:sz w:val="24"/>
                <w:szCs w:val="24"/>
                <w:highlight w:val="none"/>
                <w:lang w:eastAsia="zh-CN"/>
              </w:rPr>
              <w:t>安全管理人员不少于</w:t>
            </w:r>
            <w:r>
              <w:rPr>
                <w:rFonts w:hAnsi="宋体"/>
                <w:b/>
                <w:bCs/>
                <w:color w:val="auto"/>
                <w:sz w:val="24"/>
                <w:szCs w:val="24"/>
                <w:highlight w:val="none"/>
                <w:lang w:eastAsia="zh-CN"/>
              </w:rPr>
              <w:t>1</w:t>
            </w:r>
            <w:r>
              <w:rPr>
                <w:rFonts w:hint="eastAsia" w:hAnsi="宋体"/>
                <w:b/>
                <w:bCs/>
                <w:color w:val="auto"/>
                <w:sz w:val="24"/>
                <w:szCs w:val="24"/>
                <w:highlight w:val="none"/>
                <w:lang w:eastAsia="zh-CN"/>
              </w:rPr>
              <w:t>人。（</w:t>
            </w:r>
            <w:r>
              <w:rPr>
                <w:rFonts w:hint="eastAsia" w:hAnsi="宋体"/>
                <w:b/>
                <w:color w:val="auto"/>
                <w:sz w:val="24"/>
                <w:szCs w:val="24"/>
                <w:highlight w:val="none"/>
                <w:lang w:eastAsia="zh-CN"/>
              </w:rPr>
              <w:t>此为实质性响应条款，不满足的视为无效响应。</w:t>
            </w:r>
            <w:r>
              <w:rPr>
                <w:rFonts w:hint="eastAsia" w:hAnsi="宋体"/>
                <w:b/>
                <w:bCs/>
                <w:color w:val="auto"/>
                <w:sz w:val="24"/>
                <w:szCs w:val="24"/>
                <w:highlight w:val="none"/>
                <w:lang w:eastAsia="en-US"/>
              </w:rPr>
              <w:t>）</w:t>
            </w:r>
          </w:p>
          <w:p w14:paraId="4F541870">
            <w:pPr>
              <w:spacing w:line="360" w:lineRule="auto"/>
              <w:ind w:left="220" w:leftChars="100" w:right="182"/>
              <w:jc w:val="both"/>
              <w:rPr>
                <w:rFonts w:hAnsi="宋体"/>
                <w:color w:val="auto"/>
                <w:spacing w:val="1"/>
                <w:sz w:val="24"/>
                <w:szCs w:val="24"/>
                <w:highlight w:val="none"/>
                <w:lang w:eastAsia="zh-CN"/>
              </w:rPr>
            </w:pPr>
            <w:r>
              <w:rPr>
                <w:rFonts w:hint="eastAsia" w:hAnsi="宋体"/>
                <w:color w:val="auto"/>
                <w:spacing w:val="1"/>
                <w:sz w:val="24"/>
                <w:szCs w:val="24"/>
                <w:highlight w:val="none"/>
                <w:lang w:eastAsia="zh-CN"/>
              </w:rPr>
              <w:t>负责安全管理，责任心强、原则性强，具备良好的沟通协调能力、风险识别能力和应急处置能力。</w:t>
            </w:r>
          </w:p>
        </w:tc>
      </w:tr>
      <w:tr w14:paraId="15DC4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793" w:type="dxa"/>
            <w:vAlign w:val="center"/>
          </w:tcPr>
          <w:p w14:paraId="462BCFF3">
            <w:pPr>
              <w:spacing w:line="360" w:lineRule="auto"/>
              <w:jc w:val="center"/>
              <w:rPr>
                <w:rFonts w:hAnsi="宋体"/>
                <w:bCs/>
                <w:color w:val="auto"/>
                <w:spacing w:val="-5"/>
                <w:sz w:val="24"/>
                <w:szCs w:val="24"/>
                <w:highlight w:val="none"/>
                <w:lang w:eastAsia="en-US"/>
              </w:rPr>
            </w:pPr>
            <w:r>
              <w:rPr>
                <w:rFonts w:hint="eastAsia" w:hAnsi="宋体"/>
                <w:bCs/>
                <w:color w:val="auto"/>
                <w:spacing w:val="-5"/>
                <w:sz w:val="24"/>
                <w:szCs w:val="24"/>
                <w:highlight w:val="none"/>
                <w:lang w:eastAsia="en-US"/>
              </w:rPr>
              <w:t>6</w:t>
            </w:r>
          </w:p>
        </w:tc>
        <w:tc>
          <w:tcPr>
            <w:tcW w:w="2268" w:type="dxa"/>
            <w:vAlign w:val="center"/>
          </w:tcPr>
          <w:p w14:paraId="133EEA90">
            <w:pPr>
              <w:spacing w:line="360" w:lineRule="auto"/>
              <w:ind w:left="-62" w:leftChars="-39" w:right="174" w:hanging="24"/>
              <w:jc w:val="center"/>
              <w:rPr>
                <w:rFonts w:hAnsi="宋体"/>
                <w:color w:val="auto"/>
                <w:spacing w:val="2"/>
                <w:sz w:val="24"/>
                <w:szCs w:val="24"/>
                <w:highlight w:val="none"/>
                <w:lang w:eastAsia="en-US"/>
              </w:rPr>
            </w:pPr>
            <w:r>
              <w:rPr>
                <w:rFonts w:hint="eastAsia" w:hAnsi="宋体"/>
                <w:color w:val="auto"/>
                <w:spacing w:val="2"/>
                <w:sz w:val="24"/>
                <w:szCs w:val="24"/>
                <w:highlight w:val="none"/>
                <w:lang w:eastAsia="en-US"/>
              </w:rPr>
              <w:t>项目负责人</w:t>
            </w:r>
          </w:p>
        </w:tc>
        <w:tc>
          <w:tcPr>
            <w:tcW w:w="6520" w:type="dxa"/>
            <w:vAlign w:val="center"/>
          </w:tcPr>
          <w:p w14:paraId="25FF804A">
            <w:pPr>
              <w:spacing w:line="360" w:lineRule="auto"/>
              <w:ind w:left="220" w:leftChars="100"/>
              <w:rPr>
                <w:rFonts w:hAnsi="宋体"/>
                <w:color w:val="auto"/>
                <w:spacing w:val="1"/>
                <w:sz w:val="24"/>
                <w:szCs w:val="24"/>
                <w:highlight w:val="none"/>
                <w:lang w:eastAsia="zh-CN"/>
              </w:rPr>
            </w:pPr>
            <w:r>
              <w:rPr>
                <w:rFonts w:hint="eastAsia" w:hAnsi="宋体"/>
                <w:color w:val="auto"/>
                <w:spacing w:val="1"/>
                <w:sz w:val="24"/>
                <w:szCs w:val="24"/>
                <w:highlight w:val="none"/>
                <w:lang w:eastAsia="zh-CN"/>
              </w:rPr>
              <w:t>1人，项目负责人需负责现场人员的作业管理与考核。责任心强、作风严谨，具备较强的统筹、沟通、抗压及问题处置能力；能适应户外巡查、应急值守、全天候现场管理；具有有相关的公路保洁作业管理经验。</w:t>
            </w:r>
          </w:p>
        </w:tc>
      </w:tr>
    </w:tbl>
    <w:p w14:paraId="01F7D32E">
      <w:pPr>
        <w:snapToGrid w:val="0"/>
        <w:spacing w:line="360" w:lineRule="auto"/>
        <w:ind w:firstLine="482"/>
        <w:rPr>
          <w:rFonts w:hAnsi="宋体"/>
          <w:b/>
          <w:bCs/>
          <w:color w:val="auto"/>
          <w:sz w:val="24"/>
          <w:szCs w:val="24"/>
          <w:highlight w:val="none"/>
        </w:rPr>
      </w:pPr>
      <w:r>
        <w:rPr>
          <w:rFonts w:hint="eastAsia" w:hAnsi="宋体"/>
          <w:b/>
          <w:bCs/>
          <w:color w:val="auto"/>
          <w:sz w:val="24"/>
          <w:szCs w:val="24"/>
          <w:highlight w:val="none"/>
        </w:rPr>
        <w:t>备注：</w:t>
      </w:r>
      <w:r>
        <w:rPr>
          <w:rFonts w:hAnsi="宋体"/>
          <w:b/>
          <w:bCs/>
          <w:color w:val="auto"/>
          <w:sz w:val="24"/>
          <w:szCs w:val="24"/>
          <w:highlight w:val="none"/>
        </w:rPr>
        <w:t>1</w:t>
      </w:r>
      <w:r>
        <w:rPr>
          <w:rFonts w:hint="eastAsia" w:hAnsi="宋体"/>
          <w:b/>
          <w:bCs/>
          <w:color w:val="auto"/>
          <w:sz w:val="24"/>
          <w:szCs w:val="24"/>
          <w:highlight w:val="none"/>
        </w:rPr>
        <w:t>、应急处置岗人员允许由上述人员岗位中兼任，具体由投标人自行在人员组织方案中进行安排。</w:t>
      </w:r>
    </w:p>
    <w:p w14:paraId="23936973">
      <w:pPr>
        <w:snapToGrid w:val="0"/>
        <w:spacing w:line="360" w:lineRule="auto"/>
        <w:ind w:firstLine="482"/>
        <w:rPr>
          <w:rFonts w:hAnsi="宋体"/>
          <w:b/>
          <w:bCs/>
          <w:color w:val="auto"/>
          <w:sz w:val="24"/>
          <w:szCs w:val="24"/>
          <w:highlight w:val="none"/>
        </w:rPr>
      </w:pPr>
      <w:r>
        <w:rPr>
          <w:rFonts w:hAnsi="宋体"/>
          <w:b/>
          <w:bCs/>
          <w:color w:val="auto"/>
          <w:sz w:val="24"/>
          <w:szCs w:val="24"/>
          <w:highlight w:val="none"/>
        </w:rPr>
        <w:t>2</w:t>
      </w:r>
      <w:r>
        <w:rPr>
          <w:rFonts w:hint="eastAsia" w:hAnsi="宋体"/>
          <w:b/>
          <w:bCs/>
          <w:color w:val="auto"/>
          <w:sz w:val="24"/>
          <w:szCs w:val="24"/>
          <w:highlight w:val="none"/>
        </w:rPr>
        <w:t>、上述人员中持有A1或A2或B2类驾驶证的人员应不少于1</w:t>
      </w:r>
      <w:r>
        <w:rPr>
          <w:rFonts w:hAnsi="宋体"/>
          <w:b/>
          <w:bCs/>
          <w:color w:val="auto"/>
          <w:sz w:val="24"/>
          <w:szCs w:val="24"/>
          <w:highlight w:val="none"/>
        </w:rPr>
        <w:t>0</w:t>
      </w:r>
      <w:r>
        <w:rPr>
          <w:rFonts w:hint="eastAsia" w:hAnsi="宋体"/>
          <w:b/>
          <w:bCs/>
          <w:color w:val="auto"/>
          <w:sz w:val="24"/>
          <w:szCs w:val="24"/>
          <w:highlight w:val="none"/>
        </w:rPr>
        <w:t>人。</w:t>
      </w:r>
    </w:p>
    <w:p w14:paraId="554FD415">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（四）公路养护应急基地管理要求</w:t>
      </w:r>
    </w:p>
    <w:p w14:paraId="32930A32">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1、基地仅限用于公路养护、路面保洁、应急抢险、设备停放、物资仓储、作业人员临时休整，严禁挪作私用、转租、转借、对外经营或从事无关活动。</w:t>
      </w:r>
    </w:p>
    <w:p w14:paraId="79F8417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基地建筑、门窗、水电、卫生间、监控等公共设施，中标人不得损坏、拆除、改装。保持基地整体整洁，每日清扫，垃圾日产日清、分类归集。超出基地日处理能力的，中标人可转拟定的运垃圾卸料点/转运站处理。</w:t>
      </w:r>
    </w:p>
    <w:p w14:paraId="268F9F9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3、中标人应节约水电，杜绝长明灯、长流水，严禁私拉乱接电线，设施出现故障、损坏须立即上报甲方，不得擅自维修或隐瞒。</w:t>
      </w:r>
    </w:p>
    <w:p w14:paraId="6D57435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4、仅限停放养护车、保洁车、应急抢险车等作业车辆及工作人员车辆，按指定车位有序停放，严禁乱停乱放。</w:t>
      </w:r>
    </w:p>
    <w:p w14:paraId="6714B3C0">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5、基地内甲供耗材仅限用于辖区公路日常养护、道路巡查、应急抢险、病害处置、保通保畅等合同约定项目，严禁转借、变卖、私用、挪用、外流。实行统一入库、分区存放、按需领用、限额使用、据实核销、定期盘点全流程管控，做到账物相符、消耗可溯、储备充足、应急可调。</w:t>
      </w:r>
    </w:p>
    <w:p w14:paraId="7CBA5C45">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（五）甲供设备管理要求</w:t>
      </w:r>
    </w:p>
    <w:p w14:paraId="246EEC32">
      <w:pPr>
        <w:spacing w:line="360" w:lineRule="auto"/>
        <w:ind w:firstLine="482"/>
        <w:rPr>
          <w:rFonts w:hAnsi="宋体" w:cs="Times New Roman"/>
          <w:color w:val="auto"/>
          <w:sz w:val="24"/>
          <w:szCs w:val="24"/>
          <w:highlight w:val="none"/>
        </w:rPr>
      </w:pPr>
      <w:r>
        <w:rPr>
          <w:rFonts w:hint="eastAsia" w:hAnsi="宋体" w:cs="Times New Roman"/>
          <w:color w:val="auto"/>
          <w:sz w:val="24"/>
          <w:szCs w:val="24"/>
          <w:highlight w:val="none"/>
        </w:rPr>
        <w:t>1、</w:t>
      </w:r>
      <w:r>
        <w:rPr>
          <w:rFonts w:hAnsi="宋体" w:cs="Times New Roman"/>
          <w:color w:val="auto"/>
          <w:sz w:val="24"/>
          <w:szCs w:val="24"/>
          <w:highlight w:val="none"/>
        </w:rPr>
        <w:t>公路保洁甲供设备，指由</w:t>
      </w:r>
      <w:r>
        <w:rPr>
          <w:rFonts w:hint="eastAsia" w:hAnsi="宋体" w:cs="Times New Roman"/>
          <w:color w:val="auto"/>
          <w:sz w:val="24"/>
          <w:szCs w:val="24"/>
          <w:highlight w:val="none"/>
        </w:rPr>
        <w:t>采购人</w:t>
      </w:r>
      <w:r>
        <w:rPr>
          <w:rFonts w:hAnsi="宋体" w:cs="Times New Roman"/>
          <w:color w:val="auto"/>
          <w:sz w:val="24"/>
          <w:szCs w:val="24"/>
          <w:highlight w:val="none"/>
        </w:rPr>
        <w:t>提供、</w:t>
      </w:r>
      <w:r>
        <w:rPr>
          <w:rFonts w:hint="eastAsia" w:hAnsi="宋体" w:cs="Times New Roman"/>
          <w:color w:val="auto"/>
          <w:sz w:val="24"/>
          <w:szCs w:val="24"/>
          <w:highlight w:val="none"/>
        </w:rPr>
        <w:t>服务单位</w:t>
      </w:r>
      <w:r>
        <w:rPr>
          <w:rFonts w:hAnsi="宋体" w:cs="Times New Roman"/>
          <w:color w:val="auto"/>
          <w:sz w:val="24"/>
          <w:szCs w:val="24"/>
          <w:highlight w:val="none"/>
        </w:rPr>
        <w:t>使用与保管的保洁机械、车辆及工具，核心要求是产权清晰、台账完整、安全可控、维护到位、损耗合规、移交闭环，确保设备完好率与作业效率，防范资产流失与安全风险</w:t>
      </w:r>
      <w:r>
        <w:rPr>
          <w:rFonts w:hint="eastAsia" w:hAnsi="宋体" w:cs="Times New Roman"/>
          <w:color w:val="auto"/>
          <w:sz w:val="24"/>
          <w:szCs w:val="24"/>
          <w:highlight w:val="none"/>
        </w:rPr>
        <w:t>。</w:t>
      </w:r>
    </w:p>
    <w:p w14:paraId="476113EF">
      <w:pPr>
        <w:spacing w:line="360" w:lineRule="auto"/>
        <w:ind w:firstLine="482"/>
        <w:rPr>
          <w:rFonts w:hAnsi="宋体" w:cs="Times New Roman"/>
          <w:color w:val="auto"/>
          <w:sz w:val="24"/>
          <w:szCs w:val="24"/>
          <w:highlight w:val="none"/>
        </w:rPr>
      </w:pPr>
      <w:r>
        <w:rPr>
          <w:rFonts w:hint="eastAsia" w:hAnsi="宋体" w:cs="Times New Roman"/>
          <w:color w:val="auto"/>
          <w:sz w:val="24"/>
          <w:szCs w:val="24"/>
          <w:highlight w:val="none"/>
        </w:rPr>
        <w:t>2、</w:t>
      </w:r>
      <w:r>
        <w:rPr>
          <w:rFonts w:hAnsi="宋体" w:cs="Times New Roman"/>
          <w:color w:val="auto"/>
          <w:sz w:val="24"/>
          <w:szCs w:val="24"/>
          <w:highlight w:val="none"/>
        </w:rPr>
        <w:t>机械的保养、修理应遵循“养修并重、预防为主”的方针。做到定期保养、计划修理。积极采用现代故障诊断和状态技术,逐步实现以状态监测为基础的预防性维修制度。每年编制机械保养、修理计划，报</w:t>
      </w:r>
      <w:r>
        <w:rPr>
          <w:rFonts w:hint="eastAsia" w:hAnsi="宋体" w:cs="Times New Roman"/>
          <w:color w:val="auto"/>
          <w:sz w:val="24"/>
          <w:szCs w:val="24"/>
          <w:highlight w:val="none"/>
        </w:rPr>
        <w:t>采购人</w:t>
      </w:r>
      <w:r>
        <w:rPr>
          <w:rFonts w:hAnsi="宋体" w:cs="Times New Roman"/>
          <w:color w:val="auto"/>
          <w:sz w:val="24"/>
          <w:szCs w:val="24"/>
          <w:highlight w:val="none"/>
        </w:rPr>
        <w:t>审批后，严格按计划执行，适时安排保养和修理。</w:t>
      </w:r>
    </w:p>
    <w:p w14:paraId="085EDC83">
      <w:pPr>
        <w:spacing w:line="360" w:lineRule="auto"/>
        <w:ind w:firstLine="482"/>
        <w:rPr>
          <w:rFonts w:hAnsi="宋体" w:cs="Times New Roman"/>
          <w:b/>
          <w:bCs/>
          <w:color w:val="auto"/>
          <w:sz w:val="24"/>
          <w:szCs w:val="24"/>
          <w:highlight w:val="none"/>
        </w:rPr>
      </w:pPr>
      <w:r>
        <w:rPr>
          <w:rFonts w:hint="eastAsia" w:hAnsi="宋体" w:cs="Times New Roman"/>
          <w:b/>
          <w:bCs/>
          <w:color w:val="auto"/>
          <w:sz w:val="24"/>
          <w:szCs w:val="24"/>
          <w:highlight w:val="none"/>
        </w:rPr>
        <w:t>（六）安全管理要求</w:t>
      </w:r>
    </w:p>
    <w:p w14:paraId="1B226382">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1、加强安全教育，必须为全体作业人员购买保险，上路作业时应遵守各项规定。</w:t>
      </w:r>
    </w:p>
    <w:p w14:paraId="157B406B">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在项目实施过程中，供应商应按本合同规定，认真抓好安全教育，加强安全技术管理，保证安全(包括人员等安全)。上路作业应办理各种规定手续。作业人员和车辆按要求设置安全标志，服从公安、交通执法部门的管理。</w:t>
      </w:r>
    </w:p>
    <w:p w14:paraId="43A3EA41">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3</w:t>
      </w:r>
      <w:r>
        <w:rPr>
          <w:rFonts w:hint="eastAsia" w:hAnsi="宋体" w:cs="Times New Roman"/>
          <w:bCs/>
          <w:color w:val="auto"/>
          <w:sz w:val="24"/>
          <w:szCs w:val="24"/>
          <w:highlight w:val="none"/>
        </w:rPr>
        <w:t>、由于供应商管理不善，或因供应商职工的过失，或因第三者原因造成的人身、设备、工程质量事故以及其它人为事故，从而造成的工期延误和经济损失的全部责任均应由供应商自负，</w:t>
      </w:r>
      <w:r>
        <w:rPr>
          <w:rFonts w:hint="eastAsia" w:hAnsi="宋体" w:cs="Times New Roman"/>
          <w:bCs/>
          <w:color w:val="auto"/>
          <w:sz w:val="24"/>
          <w:szCs w:val="24"/>
          <w:highlight w:val="none"/>
          <w:lang w:val="en-US" w:eastAsia="zh-CN"/>
        </w:rPr>
        <w:t>采购人</w:t>
      </w:r>
      <w:r>
        <w:rPr>
          <w:rFonts w:hint="eastAsia" w:hAnsi="宋体" w:cs="Times New Roman"/>
          <w:bCs/>
          <w:color w:val="auto"/>
          <w:sz w:val="24"/>
          <w:szCs w:val="24"/>
          <w:highlight w:val="none"/>
        </w:rPr>
        <w:t>不承担任何责任。</w:t>
      </w:r>
    </w:p>
    <w:p w14:paraId="1A41591B">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4</w:t>
      </w:r>
      <w:r>
        <w:rPr>
          <w:rFonts w:hint="eastAsia" w:hAnsi="宋体" w:cs="Times New Roman"/>
          <w:bCs/>
          <w:color w:val="auto"/>
          <w:sz w:val="24"/>
          <w:szCs w:val="24"/>
          <w:highlight w:val="none"/>
        </w:rPr>
        <w:t>、养护作业必须严格按《公路养护安全作业规程》实施，机械操作手在作业时必须遵守采购人的有关规定。</w:t>
      </w:r>
    </w:p>
    <w:p w14:paraId="064CC120">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5</w:t>
      </w:r>
      <w:r>
        <w:rPr>
          <w:rFonts w:hint="eastAsia" w:hAnsi="宋体" w:cs="Times New Roman"/>
          <w:bCs/>
          <w:color w:val="auto"/>
          <w:sz w:val="24"/>
          <w:szCs w:val="24"/>
          <w:highlight w:val="none"/>
        </w:rPr>
        <w:t>、在日常小修保养作业路段，由专职安全管理人员负责规范设置各类交通安全设施。</w:t>
      </w:r>
    </w:p>
    <w:p w14:paraId="5945E256">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6</w:t>
      </w:r>
      <w:r>
        <w:rPr>
          <w:rFonts w:hint="eastAsia" w:hAnsi="宋体" w:cs="Times New Roman"/>
          <w:bCs/>
          <w:color w:val="auto"/>
          <w:sz w:val="24"/>
          <w:szCs w:val="24"/>
          <w:highlight w:val="none"/>
        </w:rPr>
        <w:t>、每月定期召开安全会议，集中进行安全作业教育。</w:t>
      </w:r>
    </w:p>
    <w:p w14:paraId="1B73EAA8">
      <w:pPr>
        <w:spacing w:line="360" w:lineRule="auto"/>
        <w:ind w:firstLine="482"/>
        <w:rPr>
          <w:rFonts w:hAnsi="宋体" w:cs="Times New Roman"/>
          <w:bCs/>
          <w:color w:val="auto"/>
          <w:sz w:val="24"/>
          <w:szCs w:val="24"/>
          <w:highlight w:val="none"/>
        </w:rPr>
      </w:pPr>
      <w:r>
        <w:rPr>
          <w:rFonts w:hint="eastAsia" w:hAnsi="宋体" w:cs="Times New Roman"/>
          <w:b/>
          <w:bCs/>
          <w:color w:val="auto"/>
          <w:sz w:val="24"/>
          <w:szCs w:val="24"/>
          <w:highlight w:val="none"/>
        </w:rPr>
        <w:t>（七）投标人应为服务于本项目的人员购买商业保险(包含但不仅限于意外医疗、意外伤残、意外身故)，单人保额不低于30万。</w:t>
      </w:r>
      <w:r>
        <w:rPr>
          <w:rFonts w:hint="eastAsia" w:hAnsi="宋体" w:cs="Times New Roman"/>
          <w:bCs/>
          <w:color w:val="auto"/>
          <w:sz w:val="24"/>
          <w:szCs w:val="24"/>
          <w:highlight w:val="none"/>
        </w:rPr>
        <w:t>中标人应在中标后一个月内完成</w:t>
      </w:r>
      <w:r>
        <w:rPr>
          <w:rFonts w:hint="eastAsia" w:hAnsi="宋体" w:cs="Times New Roman"/>
          <w:bCs/>
          <w:color w:val="auto"/>
          <w:sz w:val="24"/>
          <w:szCs w:val="24"/>
          <w:highlight w:val="none"/>
          <w:lang w:val="en-US" w:eastAsia="zh-CN"/>
        </w:rPr>
        <w:t>保险</w:t>
      </w:r>
      <w:r>
        <w:rPr>
          <w:rFonts w:hint="eastAsia" w:hAnsi="宋体" w:cs="Times New Roman"/>
          <w:bCs/>
          <w:color w:val="auto"/>
          <w:sz w:val="24"/>
          <w:szCs w:val="24"/>
          <w:highlight w:val="none"/>
        </w:rPr>
        <w:t>的办理，并将保单递交采购人备案，保单的复印件作为第一次付款的附件资料。</w:t>
      </w:r>
    </w:p>
    <w:p w14:paraId="0F3E19E2">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（八）中标人应按照有关部门规定，做好合同期内公路作业备案。</w:t>
      </w:r>
    </w:p>
    <w:p w14:paraId="43E1E15E">
      <w:pPr>
        <w:spacing w:line="360" w:lineRule="auto"/>
        <w:ind w:firstLine="482"/>
        <w:rPr>
          <w:rFonts w:hAnsi="宋体"/>
          <w:b/>
          <w:bCs/>
          <w:color w:val="auto"/>
          <w:sz w:val="24"/>
          <w:szCs w:val="24"/>
          <w:highlight w:val="none"/>
        </w:rPr>
      </w:pPr>
      <w:r>
        <w:rPr>
          <w:rFonts w:hint="eastAsia" w:hAnsi="宋体"/>
          <w:b/>
          <w:bCs/>
          <w:color w:val="auto"/>
          <w:sz w:val="24"/>
          <w:szCs w:val="24"/>
          <w:highlight w:val="none"/>
        </w:rPr>
        <w:t>六、报价要求</w:t>
      </w:r>
    </w:p>
    <w:p w14:paraId="78226DC6">
      <w:pPr>
        <w:spacing w:line="360" w:lineRule="auto"/>
        <w:ind w:firstLine="480"/>
        <w:rPr>
          <w:rFonts w:hAnsi="宋体"/>
          <w:color w:val="auto"/>
          <w:sz w:val="24"/>
          <w:szCs w:val="24"/>
          <w:highlight w:val="none"/>
        </w:rPr>
      </w:pPr>
      <w:r>
        <w:rPr>
          <w:rFonts w:hint="eastAsia" w:hAnsi="宋体"/>
          <w:color w:val="auto"/>
          <w:sz w:val="24"/>
          <w:szCs w:val="24"/>
          <w:highlight w:val="none"/>
        </w:rPr>
        <w:t>1、投标单位应充分考虑保洁承包期间劳务、相应的人身安全保险、赔偿及所需的全部费用的市场风险因素，并计入总报价。除非合同中另有规定，投标人对投标报价中的工程量和服务的报价应包括完成本项工作所需的人工费（人员工资、保险、劳保等），清理材料费、耗材，工器具、相关机械设备等使用费，各种税费、政策性文件规定及合同包含的所有风险、责任等一切费用。投标报价为最终报价，除非因特殊原因并经买卖双方协商同意，投标人不得再要求追加任何费用。同时，除非合同条款中另有规定，否则，投标单位所报价格在合同实施期间不因市场变化因素而变动。</w:t>
      </w:r>
    </w:p>
    <w:p w14:paraId="2E073474">
      <w:pPr>
        <w:spacing w:line="360" w:lineRule="auto"/>
        <w:ind w:firstLine="480"/>
        <w:rPr>
          <w:rFonts w:hAnsi="宋体"/>
          <w:color w:val="auto"/>
          <w:sz w:val="24"/>
          <w:szCs w:val="24"/>
          <w:highlight w:val="none"/>
        </w:rPr>
      </w:pPr>
      <w:r>
        <w:rPr>
          <w:rFonts w:hint="eastAsia" w:hAnsi="宋体"/>
          <w:color w:val="auto"/>
          <w:sz w:val="24"/>
          <w:szCs w:val="24"/>
          <w:highlight w:val="none"/>
        </w:rPr>
        <w:t>2、根据采购人的工作监管要求，投标单位中标后需统一购置和使用信息化管理设备（视频管理设备），要求中标人积极配合使用和保管好信息化设备，使用情况需满足采购人的要求。设备购入和使用经费包含在投标总价中。</w:t>
      </w:r>
    </w:p>
    <w:p w14:paraId="68046713">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七、项目实施方案要求：</w:t>
      </w:r>
    </w:p>
    <w:p w14:paraId="57E3EB9C">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（一）道路养护保洁方案</w:t>
      </w:r>
    </w:p>
    <w:p w14:paraId="177BDE7F">
      <w:pPr>
        <w:spacing w:line="360" w:lineRule="auto"/>
        <w:ind w:firstLine="482"/>
        <w:rPr>
          <w:rFonts w:hAnsi="宋体"/>
          <w:bCs/>
          <w:color w:val="auto"/>
          <w:sz w:val="24"/>
          <w:szCs w:val="24"/>
          <w:highlight w:val="none"/>
        </w:rPr>
      </w:pPr>
      <w:r>
        <w:rPr>
          <w:rFonts w:hint="eastAsia" w:hAnsi="宋体"/>
          <w:bCs/>
          <w:color w:val="auto"/>
          <w:sz w:val="24"/>
          <w:szCs w:val="24"/>
          <w:highlight w:val="none"/>
        </w:rPr>
        <w:t>1、机械化设备作业方案</w:t>
      </w:r>
    </w:p>
    <w:p w14:paraId="2212CD16">
      <w:pPr>
        <w:spacing w:line="360" w:lineRule="auto"/>
        <w:ind w:firstLine="482"/>
        <w:rPr>
          <w:rFonts w:hAnsi="宋体"/>
          <w:bCs/>
          <w:color w:val="auto"/>
          <w:sz w:val="24"/>
          <w:szCs w:val="24"/>
          <w:highlight w:val="none"/>
        </w:rPr>
      </w:pPr>
      <w:r>
        <w:rPr>
          <w:rFonts w:hint="eastAsia" w:hAnsi="宋体"/>
          <w:bCs/>
          <w:color w:val="auto"/>
          <w:sz w:val="24"/>
          <w:szCs w:val="24"/>
          <w:highlight w:val="none"/>
        </w:rPr>
        <w:t>明确清洗车、洗扫车、扫路车、养护车等设备的作业路段、作业频次、作业时间（避开早晚高峰）。说明机械化作业流程、质量标准、安全规范，与人工保洁形成互补。覆盖桥面、人行道、路肩、边坡、中分带等全部区域。</w:t>
      </w:r>
    </w:p>
    <w:p w14:paraId="0AACEA09">
      <w:pPr>
        <w:spacing w:line="360" w:lineRule="auto"/>
        <w:ind w:firstLine="482"/>
        <w:rPr>
          <w:rFonts w:hAnsi="宋体"/>
          <w:bCs/>
          <w:color w:val="auto"/>
          <w:sz w:val="24"/>
          <w:szCs w:val="24"/>
          <w:highlight w:val="none"/>
        </w:rPr>
      </w:pPr>
      <w:r>
        <w:rPr>
          <w:rFonts w:hint="eastAsia" w:hAnsi="宋体"/>
          <w:bCs/>
          <w:color w:val="auto"/>
          <w:sz w:val="24"/>
          <w:szCs w:val="24"/>
          <w:highlight w:val="none"/>
        </w:rPr>
        <w:t>2、人工（巡回）养护保洁方案</w:t>
      </w:r>
    </w:p>
    <w:p w14:paraId="33F75EA3">
      <w:pPr>
        <w:spacing w:line="360" w:lineRule="auto"/>
        <w:ind w:firstLine="482"/>
        <w:rPr>
          <w:rFonts w:hAnsi="宋体"/>
          <w:bCs/>
          <w:color w:val="auto"/>
          <w:sz w:val="24"/>
          <w:szCs w:val="24"/>
          <w:highlight w:val="none"/>
        </w:rPr>
      </w:pPr>
      <w:r>
        <w:rPr>
          <w:rFonts w:hint="eastAsia" w:hAnsi="宋体"/>
          <w:bCs/>
          <w:color w:val="auto"/>
          <w:sz w:val="24"/>
          <w:szCs w:val="24"/>
          <w:highlight w:val="none"/>
        </w:rPr>
        <w:t>按招标文件人员配置要求，明确各路段人员数量、责任区段、巡回频次。制定日常保洁养护+重点补扫制度，确保路面、边沟、绿化带、设施干净整洁。明确保洁工具、养护工具、着装、作业标准与质量要求。</w:t>
      </w:r>
    </w:p>
    <w:p w14:paraId="4FE56F1B">
      <w:pPr>
        <w:spacing w:line="360" w:lineRule="auto"/>
        <w:ind w:firstLine="482"/>
        <w:rPr>
          <w:rFonts w:hAnsi="宋体"/>
          <w:bCs/>
          <w:color w:val="auto"/>
          <w:sz w:val="24"/>
          <w:szCs w:val="24"/>
          <w:highlight w:val="none"/>
        </w:rPr>
      </w:pPr>
      <w:r>
        <w:rPr>
          <w:rFonts w:hint="eastAsia" w:hAnsi="宋体"/>
          <w:bCs/>
          <w:color w:val="auto"/>
          <w:sz w:val="24"/>
          <w:szCs w:val="24"/>
          <w:highlight w:val="none"/>
        </w:rPr>
        <w:t>3、作业路线规划及时间表安排</w:t>
      </w:r>
    </w:p>
    <w:p w14:paraId="44316B32">
      <w:pPr>
        <w:spacing w:line="360" w:lineRule="auto"/>
        <w:ind w:firstLine="482"/>
        <w:rPr>
          <w:rFonts w:hAnsi="宋体"/>
          <w:bCs/>
          <w:color w:val="auto"/>
          <w:sz w:val="24"/>
          <w:szCs w:val="24"/>
          <w:highlight w:val="none"/>
        </w:rPr>
      </w:pPr>
      <w:r>
        <w:rPr>
          <w:rFonts w:hint="eastAsia" w:hAnsi="宋体"/>
          <w:bCs/>
          <w:color w:val="auto"/>
          <w:sz w:val="24"/>
          <w:szCs w:val="24"/>
          <w:highlight w:val="none"/>
        </w:rPr>
        <w:t>按国省级公路、县级公路范围编制编制作业路线。提供每日作业时间表（机械 + 人工），明确起止时间、作业顺序、覆盖范围。包含备用路线与错峰作业安排。</w:t>
      </w:r>
    </w:p>
    <w:p w14:paraId="29774D62">
      <w:pPr>
        <w:spacing w:line="360" w:lineRule="auto"/>
        <w:ind w:firstLine="482"/>
        <w:rPr>
          <w:rFonts w:hAnsi="宋体"/>
          <w:bCs/>
          <w:color w:val="auto"/>
          <w:sz w:val="24"/>
          <w:szCs w:val="24"/>
          <w:highlight w:val="none"/>
        </w:rPr>
      </w:pPr>
      <w:r>
        <w:rPr>
          <w:rFonts w:hint="eastAsia" w:hAnsi="宋体"/>
          <w:bCs/>
          <w:color w:val="auto"/>
          <w:sz w:val="24"/>
          <w:szCs w:val="24"/>
          <w:highlight w:val="none"/>
        </w:rPr>
        <w:t>4、垃圾处置方案</w:t>
      </w:r>
    </w:p>
    <w:p w14:paraId="085E18DD">
      <w:pPr>
        <w:spacing w:line="360" w:lineRule="auto"/>
        <w:ind w:firstLine="482"/>
        <w:rPr>
          <w:rFonts w:hAnsi="宋体"/>
          <w:bCs/>
          <w:color w:val="auto"/>
          <w:sz w:val="24"/>
          <w:szCs w:val="24"/>
          <w:highlight w:val="none"/>
        </w:rPr>
      </w:pPr>
      <w:r>
        <w:rPr>
          <w:rFonts w:hint="eastAsia" w:hAnsi="宋体"/>
          <w:bCs/>
          <w:color w:val="auto"/>
          <w:sz w:val="24"/>
          <w:szCs w:val="24"/>
          <w:highlight w:val="none"/>
        </w:rPr>
        <w:t>明确垃圾收集、分类、转运、消纳全流程，严禁就地倾倒、二次污染。说明垃圾清运频次、车辆配置、处置去向，符合太仓市环卫管理要求。</w:t>
      </w:r>
    </w:p>
    <w:p w14:paraId="4DD64CEA">
      <w:pPr>
        <w:spacing w:line="360" w:lineRule="auto"/>
        <w:ind w:firstLine="482"/>
        <w:rPr>
          <w:rFonts w:hAnsi="宋体"/>
          <w:bCs/>
          <w:color w:val="auto"/>
          <w:sz w:val="24"/>
          <w:szCs w:val="24"/>
          <w:highlight w:val="none"/>
        </w:rPr>
      </w:pPr>
      <w:r>
        <w:rPr>
          <w:rFonts w:hint="eastAsia" w:hAnsi="宋体"/>
          <w:bCs/>
          <w:color w:val="auto"/>
          <w:sz w:val="24"/>
          <w:szCs w:val="24"/>
          <w:highlight w:val="none"/>
        </w:rPr>
        <w:t>5、人员安全培训方案</w:t>
      </w:r>
    </w:p>
    <w:p w14:paraId="7BCEDE29">
      <w:pPr>
        <w:spacing w:line="360" w:lineRule="auto"/>
        <w:ind w:firstLine="482"/>
        <w:rPr>
          <w:rFonts w:hAnsi="宋体"/>
          <w:bCs/>
          <w:color w:val="auto"/>
          <w:sz w:val="24"/>
          <w:szCs w:val="24"/>
          <w:highlight w:val="none"/>
        </w:rPr>
      </w:pPr>
      <w:r>
        <w:rPr>
          <w:rFonts w:hint="eastAsia" w:hAnsi="宋体"/>
          <w:bCs/>
          <w:color w:val="auto"/>
          <w:sz w:val="24"/>
          <w:szCs w:val="24"/>
          <w:highlight w:val="none"/>
        </w:rPr>
        <w:t>包含上岗培训、日常安全教育、应急演练、交通作业安全等内容。明确培训频次、考核方式、记录留存。贴合公路露天、临车、高速辅道等高风险作业特点。</w:t>
      </w:r>
    </w:p>
    <w:p w14:paraId="688B5682">
      <w:pPr>
        <w:spacing w:line="360" w:lineRule="auto"/>
        <w:ind w:firstLine="482"/>
        <w:rPr>
          <w:rFonts w:hAnsi="宋体"/>
          <w:bCs/>
          <w:color w:val="auto"/>
          <w:sz w:val="24"/>
          <w:szCs w:val="24"/>
          <w:highlight w:val="none"/>
        </w:rPr>
      </w:pPr>
      <w:r>
        <w:rPr>
          <w:rFonts w:hint="eastAsia" w:hAnsi="宋体"/>
          <w:bCs/>
          <w:color w:val="auto"/>
          <w:sz w:val="24"/>
          <w:szCs w:val="24"/>
          <w:highlight w:val="none"/>
        </w:rPr>
        <w:t>6、甲供车辆设备维保方案</w:t>
      </w:r>
    </w:p>
    <w:p w14:paraId="7AA5EECE">
      <w:pPr>
        <w:spacing w:line="360" w:lineRule="auto"/>
        <w:ind w:firstLine="482"/>
        <w:rPr>
          <w:rFonts w:hAnsi="宋体"/>
          <w:bCs/>
          <w:color w:val="auto"/>
          <w:sz w:val="24"/>
          <w:szCs w:val="24"/>
          <w:highlight w:val="none"/>
        </w:rPr>
      </w:pPr>
      <w:r>
        <w:rPr>
          <w:rFonts w:hint="eastAsia" w:hAnsi="宋体"/>
          <w:bCs/>
          <w:color w:val="auto"/>
          <w:sz w:val="24"/>
          <w:szCs w:val="24"/>
          <w:highlight w:val="none"/>
        </w:rPr>
        <w:t>明确维保责任边界、标准、流程、频次、应急保障及考核要求，不得与招标文件服务要求冲突。明确甲供车辆设备维保流程规范。</w:t>
      </w:r>
    </w:p>
    <w:p w14:paraId="33FAF179">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（二）应急处置方案</w:t>
      </w:r>
    </w:p>
    <w:p w14:paraId="25C66D72">
      <w:pPr>
        <w:spacing w:line="360" w:lineRule="auto"/>
        <w:ind w:firstLine="482"/>
        <w:rPr>
          <w:rFonts w:hAnsi="宋体"/>
          <w:bCs/>
          <w:color w:val="auto"/>
          <w:sz w:val="24"/>
          <w:szCs w:val="24"/>
          <w:highlight w:val="none"/>
        </w:rPr>
      </w:pPr>
      <w:r>
        <w:rPr>
          <w:rFonts w:hint="eastAsia" w:hAnsi="宋体"/>
          <w:bCs/>
          <w:color w:val="auto"/>
          <w:sz w:val="24"/>
          <w:szCs w:val="24"/>
          <w:highlight w:val="none"/>
        </w:rPr>
        <w:t>1、道路紧急情况及突发事件处理方案</w:t>
      </w:r>
    </w:p>
    <w:p w14:paraId="43F1D5EB">
      <w:pPr>
        <w:spacing w:line="360" w:lineRule="auto"/>
        <w:ind w:firstLine="482"/>
        <w:rPr>
          <w:rFonts w:hAnsi="宋体"/>
          <w:bCs/>
          <w:color w:val="auto"/>
          <w:sz w:val="24"/>
          <w:szCs w:val="24"/>
          <w:highlight w:val="none"/>
        </w:rPr>
      </w:pPr>
      <w:r>
        <w:rPr>
          <w:rFonts w:hint="eastAsia" w:hAnsi="宋体"/>
          <w:bCs/>
          <w:color w:val="auto"/>
          <w:sz w:val="24"/>
          <w:szCs w:val="24"/>
          <w:highlight w:val="none"/>
        </w:rPr>
        <w:t>覆盖车祸、路面污染、障碍物清理、设施倒伏、小广告突发等场景。明确响应时间、处置流程、人员设备、上报机制。</w:t>
      </w:r>
    </w:p>
    <w:p w14:paraId="2AC777D5">
      <w:pPr>
        <w:spacing w:line="360" w:lineRule="auto"/>
        <w:ind w:firstLine="482"/>
        <w:rPr>
          <w:rFonts w:hAnsi="宋体"/>
          <w:bCs/>
          <w:color w:val="auto"/>
          <w:sz w:val="24"/>
          <w:szCs w:val="24"/>
          <w:highlight w:val="none"/>
        </w:rPr>
      </w:pPr>
      <w:r>
        <w:rPr>
          <w:rFonts w:hint="eastAsia" w:hAnsi="宋体"/>
          <w:bCs/>
          <w:color w:val="auto"/>
          <w:sz w:val="24"/>
          <w:szCs w:val="24"/>
          <w:highlight w:val="none"/>
        </w:rPr>
        <w:t>2、自然灾害（恶劣天气）处理预案</w:t>
      </w:r>
    </w:p>
    <w:p w14:paraId="29E76A2C">
      <w:pPr>
        <w:spacing w:line="360" w:lineRule="auto"/>
        <w:ind w:firstLine="482"/>
        <w:rPr>
          <w:rFonts w:hAnsi="宋体"/>
          <w:bCs/>
          <w:color w:val="auto"/>
          <w:sz w:val="24"/>
          <w:szCs w:val="24"/>
          <w:highlight w:val="none"/>
        </w:rPr>
      </w:pPr>
      <w:r>
        <w:rPr>
          <w:rFonts w:hint="eastAsia" w:hAnsi="宋体"/>
          <w:bCs/>
          <w:color w:val="auto"/>
          <w:sz w:val="24"/>
          <w:szCs w:val="24"/>
          <w:highlight w:val="none"/>
        </w:rPr>
        <w:t>针对暴雨、积水、大风、落叶、高温、寒潮、冰冻等制定专项措施。包含预警、提前布防、快速清理、排水保通、安全防护。</w:t>
      </w:r>
    </w:p>
    <w:p w14:paraId="338DD060">
      <w:pPr>
        <w:spacing w:line="360" w:lineRule="auto"/>
        <w:ind w:firstLine="482"/>
        <w:rPr>
          <w:rFonts w:hAnsi="宋体"/>
          <w:bCs/>
          <w:color w:val="auto"/>
          <w:sz w:val="24"/>
          <w:szCs w:val="24"/>
          <w:highlight w:val="none"/>
        </w:rPr>
      </w:pPr>
      <w:r>
        <w:rPr>
          <w:rFonts w:hint="eastAsia" w:hAnsi="宋体"/>
          <w:bCs/>
          <w:color w:val="auto"/>
          <w:sz w:val="24"/>
          <w:szCs w:val="24"/>
          <w:highlight w:val="none"/>
        </w:rPr>
        <w:t>3、消防应急预案</w:t>
      </w:r>
    </w:p>
    <w:p w14:paraId="1216DCD1">
      <w:pPr>
        <w:spacing w:line="360" w:lineRule="auto"/>
        <w:ind w:firstLine="482"/>
        <w:rPr>
          <w:rFonts w:hAnsi="宋体"/>
          <w:bCs/>
          <w:color w:val="auto"/>
          <w:sz w:val="24"/>
          <w:szCs w:val="24"/>
          <w:highlight w:val="none"/>
        </w:rPr>
      </w:pPr>
      <w:r>
        <w:rPr>
          <w:rFonts w:hint="eastAsia" w:hAnsi="宋体"/>
          <w:bCs/>
          <w:color w:val="auto"/>
          <w:sz w:val="24"/>
          <w:szCs w:val="24"/>
          <w:highlight w:val="none"/>
        </w:rPr>
        <w:t>路边杂草、垃圾、设施及车辆起火等初期火灾处置、报警、疏散、配合救援。配备消防器材、明确责任人、演练要求。</w:t>
      </w:r>
    </w:p>
    <w:p w14:paraId="43282DEA">
      <w:pPr>
        <w:spacing w:line="360" w:lineRule="auto"/>
        <w:ind w:firstLine="482"/>
        <w:rPr>
          <w:rFonts w:hAnsi="宋体"/>
          <w:bCs/>
          <w:color w:val="auto"/>
          <w:sz w:val="24"/>
          <w:szCs w:val="24"/>
          <w:highlight w:val="none"/>
        </w:rPr>
      </w:pPr>
      <w:r>
        <w:rPr>
          <w:rFonts w:hint="eastAsia" w:hAnsi="宋体"/>
          <w:bCs/>
          <w:color w:val="auto"/>
          <w:sz w:val="24"/>
          <w:szCs w:val="24"/>
          <w:highlight w:val="none"/>
        </w:rPr>
        <w:t>4、节假日、重大活动预案</w:t>
      </w:r>
    </w:p>
    <w:p w14:paraId="70FBBABE">
      <w:pPr>
        <w:spacing w:line="360" w:lineRule="auto"/>
        <w:ind w:firstLine="482"/>
        <w:rPr>
          <w:rFonts w:hAnsi="宋体"/>
          <w:bCs/>
          <w:color w:val="auto"/>
          <w:sz w:val="24"/>
          <w:szCs w:val="24"/>
          <w:highlight w:val="none"/>
        </w:rPr>
      </w:pPr>
      <w:r>
        <w:rPr>
          <w:rFonts w:hint="eastAsia" w:hAnsi="宋体"/>
          <w:bCs/>
          <w:color w:val="auto"/>
          <w:sz w:val="24"/>
          <w:szCs w:val="24"/>
          <w:highlight w:val="none"/>
        </w:rPr>
        <w:t>针对春节、国庆、赛事、检查、迎检等制定加密养护保洁、延时作业、重点保障。人员增派、机械加强、巡回频次提升。</w:t>
      </w:r>
    </w:p>
    <w:p w14:paraId="706CDD35">
      <w:pPr>
        <w:spacing w:line="360" w:lineRule="auto"/>
        <w:ind w:firstLine="482"/>
        <w:rPr>
          <w:rFonts w:hAnsi="宋体"/>
          <w:bCs/>
          <w:color w:val="auto"/>
          <w:sz w:val="24"/>
          <w:szCs w:val="24"/>
          <w:highlight w:val="none"/>
        </w:rPr>
      </w:pPr>
      <w:r>
        <w:rPr>
          <w:rFonts w:hint="eastAsia" w:hAnsi="宋体"/>
          <w:bCs/>
          <w:color w:val="auto"/>
          <w:sz w:val="24"/>
          <w:szCs w:val="24"/>
          <w:highlight w:val="none"/>
        </w:rPr>
        <w:t>5、服务人员意外事故处置预案</w:t>
      </w:r>
    </w:p>
    <w:p w14:paraId="4C89C22E">
      <w:pPr>
        <w:spacing w:line="360" w:lineRule="auto"/>
        <w:ind w:firstLine="482"/>
        <w:rPr>
          <w:rFonts w:hAnsi="宋体"/>
          <w:bCs/>
          <w:color w:val="auto"/>
          <w:sz w:val="24"/>
          <w:szCs w:val="24"/>
          <w:highlight w:val="none"/>
        </w:rPr>
      </w:pPr>
      <w:r>
        <w:rPr>
          <w:rFonts w:hint="eastAsia" w:hAnsi="宋体"/>
          <w:bCs/>
          <w:color w:val="auto"/>
          <w:sz w:val="24"/>
          <w:szCs w:val="24"/>
          <w:highlight w:val="none"/>
        </w:rPr>
        <w:t>包含交通事故、中暑、受伤、突发疾病的现场处置、送医、上报、保险理赔。明确应急联络人、备用人员替补机制。</w:t>
      </w:r>
    </w:p>
    <w:p w14:paraId="1F2F4BCC">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（三）工作制度</w:t>
      </w:r>
    </w:p>
    <w:p w14:paraId="1C9F7527">
      <w:pPr>
        <w:spacing w:line="360" w:lineRule="auto"/>
        <w:ind w:firstLine="482"/>
        <w:rPr>
          <w:rFonts w:hAnsi="宋体"/>
          <w:bCs/>
          <w:color w:val="auto"/>
          <w:sz w:val="24"/>
          <w:szCs w:val="24"/>
          <w:highlight w:val="none"/>
        </w:rPr>
      </w:pPr>
      <w:r>
        <w:rPr>
          <w:rFonts w:hint="eastAsia" w:hAnsi="宋体"/>
          <w:bCs/>
          <w:color w:val="auto"/>
          <w:sz w:val="24"/>
          <w:szCs w:val="24"/>
          <w:highlight w:val="none"/>
        </w:rPr>
        <w:t>1、人员组织架构及考核制度</w:t>
      </w:r>
    </w:p>
    <w:p w14:paraId="34169BCD">
      <w:pPr>
        <w:spacing w:line="360" w:lineRule="auto"/>
        <w:ind w:firstLine="482"/>
        <w:rPr>
          <w:rFonts w:hAnsi="宋体"/>
          <w:bCs/>
          <w:color w:val="auto"/>
          <w:sz w:val="24"/>
          <w:szCs w:val="24"/>
          <w:highlight w:val="none"/>
        </w:rPr>
      </w:pPr>
      <w:r>
        <w:rPr>
          <w:rFonts w:hint="eastAsia" w:hAnsi="宋体"/>
          <w:bCs/>
          <w:color w:val="auto"/>
          <w:sz w:val="24"/>
          <w:szCs w:val="24"/>
          <w:highlight w:val="none"/>
        </w:rPr>
        <w:t>明确项目负责人、安全员、驾驶员、保洁员层级架构。制定与采购人考核挂钩的内部绩效考核、奖惩、考勤、淘汰机制。</w:t>
      </w:r>
    </w:p>
    <w:p w14:paraId="5646E82E">
      <w:pPr>
        <w:spacing w:line="360" w:lineRule="auto"/>
        <w:ind w:firstLine="482"/>
        <w:rPr>
          <w:rFonts w:hAnsi="宋体"/>
          <w:bCs/>
          <w:color w:val="auto"/>
          <w:sz w:val="24"/>
          <w:szCs w:val="24"/>
          <w:highlight w:val="none"/>
        </w:rPr>
      </w:pPr>
      <w:r>
        <w:rPr>
          <w:rFonts w:hint="eastAsia" w:hAnsi="宋体"/>
          <w:bCs/>
          <w:color w:val="auto"/>
          <w:sz w:val="24"/>
          <w:szCs w:val="24"/>
          <w:highlight w:val="none"/>
        </w:rPr>
        <w:t>2、日常管理制度</w:t>
      </w:r>
    </w:p>
    <w:p w14:paraId="4A634C9A">
      <w:pPr>
        <w:spacing w:line="360" w:lineRule="auto"/>
        <w:ind w:firstLine="482"/>
        <w:rPr>
          <w:rFonts w:hAnsi="宋体"/>
          <w:bCs/>
          <w:color w:val="auto"/>
          <w:sz w:val="24"/>
          <w:szCs w:val="24"/>
          <w:highlight w:val="none"/>
        </w:rPr>
      </w:pPr>
      <w:r>
        <w:rPr>
          <w:rFonts w:hint="eastAsia" w:hAnsi="宋体"/>
          <w:bCs/>
          <w:color w:val="auto"/>
          <w:sz w:val="24"/>
          <w:szCs w:val="24"/>
          <w:highlight w:val="none"/>
        </w:rPr>
        <w:t>包含考勤、请假、交接班、例会、培训、整改闭环等。贴合公路点多、线长、面广、分散作业特点。</w:t>
      </w:r>
    </w:p>
    <w:p w14:paraId="0B9A697F">
      <w:pPr>
        <w:spacing w:line="360" w:lineRule="auto"/>
        <w:ind w:firstLine="482"/>
        <w:rPr>
          <w:rFonts w:hAnsi="宋体"/>
          <w:bCs/>
          <w:color w:val="auto"/>
          <w:sz w:val="24"/>
          <w:szCs w:val="24"/>
          <w:highlight w:val="none"/>
        </w:rPr>
      </w:pPr>
      <w:r>
        <w:rPr>
          <w:rFonts w:hint="eastAsia" w:hAnsi="宋体"/>
          <w:bCs/>
          <w:color w:val="auto"/>
          <w:sz w:val="24"/>
          <w:szCs w:val="24"/>
          <w:highlight w:val="none"/>
        </w:rPr>
        <w:t>3、岗位职责及岗位操作规程</w:t>
      </w:r>
    </w:p>
    <w:p w14:paraId="50A0644A">
      <w:pPr>
        <w:spacing w:line="360" w:lineRule="auto"/>
        <w:ind w:firstLine="482"/>
        <w:rPr>
          <w:rFonts w:hAnsi="宋体"/>
          <w:bCs/>
          <w:color w:val="auto"/>
          <w:sz w:val="24"/>
          <w:szCs w:val="24"/>
          <w:highlight w:val="none"/>
        </w:rPr>
      </w:pPr>
      <w:r>
        <w:rPr>
          <w:rFonts w:hint="eastAsia" w:hAnsi="宋体"/>
          <w:bCs/>
          <w:color w:val="auto"/>
          <w:sz w:val="24"/>
          <w:szCs w:val="24"/>
          <w:highlight w:val="none"/>
        </w:rPr>
        <w:t>分别制定项目负责人、安全员、驾驶员、保洁员岗位职责与标准作业程序。操作流程具体、量化、可检查。</w:t>
      </w:r>
    </w:p>
    <w:p w14:paraId="0A10521D">
      <w:pPr>
        <w:spacing w:line="360" w:lineRule="auto"/>
        <w:ind w:firstLine="482"/>
        <w:rPr>
          <w:rFonts w:hAnsi="宋体"/>
          <w:bCs/>
          <w:color w:val="auto"/>
          <w:sz w:val="24"/>
          <w:szCs w:val="24"/>
          <w:highlight w:val="none"/>
        </w:rPr>
      </w:pPr>
      <w:r>
        <w:rPr>
          <w:rFonts w:hint="eastAsia" w:hAnsi="宋体"/>
          <w:bCs/>
          <w:color w:val="auto"/>
          <w:sz w:val="24"/>
          <w:szCs w:val="24"/>
          <w:highlight w:val="none"/>
        </w:rPr>
        <w:t>4、各类台账管理制度</w:t>
      </w:r>
    </w:p>
    <w:p w14:paraId="55CF0977">
      <w:pPr>
        <w:spacing w:line="360" w:lineRule="auto"/>
        <w:ind w:firstLine="482"/>
        <w:rPr>
          <w:rFonts w:hAnsi="宋体"/>
          <w:bCs/>
          <w:color w:val="auto"/>
          <w:sz w:val="24"/>
          <w:szCs w:val="24"/>
          <w:highlight w:val="none"/>
        </w:rPr>
      </w:pPr>
      <w:r>
        <w:rPr>
          <w:rFonts w:hint="eastAsia" w:hAnsi="宋体"/>
          <w:bCs/>
          <w:color w:val="auto"/>
          <w:sz w:val="24"/>
          <w:szCs w:val="24"/>
          <w:highlight w:val="none"/>
        </w:rPr>
        <w:t>包含巡查台账、保洁记录、应急处置、人员考勤、设备维保、安全培训、考核记录。台账可追溯、可查阅、符合采购人监管要求。</w:t>
      </w:r>
    </w:p>
    <w:p w14:paraId="1B86F57C">
      <w:pPr>
        <w:spacing w:line="360" w:lineRule="auto"/>
        <w:ind w:firstLine="482"/>
        <w:rPr>
          <w:rFonts w:hAnsi="宋体"/>
          <w:b/>
          <w:bCs/>
          <w:color w:val="auto"/>
          <w:sz w:val="24"/>
          <w:szCs w:val="24"/>
          <w:highlight w:val="none"/>
        </w:rPr>
      </w:pPr>
      <w:r>
        <w:rPr>
          <w:rFonts w:hint="eastAsia" w:hAnsi="宋体"/>
          <w:b/>
          <w:bCs/>
          <w:color w:val="auto"/>
          <w:sz w:val="24"/>
          <w:szCs w:val="24"/>
          <w:highlight w:val="none"/>
        </w:rPr>
        <w:t>（四）安全文明作业保障措施</w:t>
      </w:r>
    </w:p>
    <w:p w14:paraId="64DB073E">
      <w:pPr>
        <w:spacing w:line="360" w:lineRule="auto"/>
        <w:ind w:firstLine="482"/>
        <w:rPr>
          <w:rFonts w:hAnsi="宋体"/>
          <w:bCs/>
          <w:color w:val="auto"/>
          <w:sz w:val="24"/>
          <w:szCs w:val="24"/>
          <w:highlight w:val="none"/>
        </w:rPr>
      </w:pPr>
      <w:r>
        <w:rPr>
          <w:rFonts w:hint="eastAsia" w:hAnsi="宋体"/>
          <w:bCs/>
          <w:color w:val="auto"/>
          <w:sz w:val="24"/>
          <w:szCs w:val="24"/>
          <w:highlight w:val="none"/>
        </w:rPr>
        <w:t>1、人员安全保障措施</w:t>
      </w:r>
    </w:p>
    <w:p w14:paraId="7EF7131E">
      <w:pPr>
        <w:spacing w:line="360" w:lineRule="auto"/>
        <w:ind w:firstLine="482"/>
        <w:rPr>
          <w:rFonts w:hAnsi="宋体"/>
          <w:bCs/>
          <w:color w:val="auto"/>
          <w:sz w:val="24"/>
          <w:szCs w:val="24"/>
          <w:highlight w:val="none"/>
        </w:rPr>
      </w:pPr>
      <w:r>
        <w:rPr>
          <w:rFonts w:hint="eastAsia" w:hAnsi="宋体"/>
          <w:bCs/>
          <w:color w:val="auto"/>
          <w:sz w:val="24"/>
          <w:szCs w:val="24"/>
          <w:highlight w:val="none"/>
        </w:rPr>
        <w:t>统一安全标志服、反光背心、防护装备，临边/临车道作业防护要求。严禁违规横穿、逆向作业、疲劳作业，配备警示装备。</w:t>
      </w:r>
    </w:p>
    <w:p w14:paraId="67E9C789">
      <w:pPr>
        <w:spacing w:line="360" w:lineRule="auto"/>
        <w:ind w:firstLine="482"/>
        <w:rPr>
          <w:rFonts w:hAnsi="宋体"/>
          <w:bCs/>
          <w:color w:val="auto"/>
          <w:sz w:val="24"/>
          <w:szCs w:val="24"/>
          <w:highlight w:val="none"/>
        </w:rPr>
      </w:pPr>
      <w:r>
        <w:rPr>
          <w:rFonts w:hint="eastAsia" w:hAnsi="宋体"/>
          <w:bCs/>
          <w:color w:val="auto"/>
          <w:sz w:val="24"/>
          <w:szCs w:val="24"/>
          <w:highlight w:val="none"/>
        </w:rPr>
        <w:t>2、车辆设备停放管理方案</w:t>
      </w:r>
    </w:p>
    <w:p w14:paraId="4390EB96">
      <w:pPr>
        <w:spacing w:line="360" w:lineRule="auto"/>
        <w:ind w:firstLine="482"/>
        <w:rPr>
          <w:rFonts w:hAnsi="宋体"/>
          <w:bCs/>
          <w:color w:val="auto"/>
          <w:sz w:val="24"/>
          <w:szCs w:val="24"/>
          <w:highlight w:val="none"/>
        </w:rPr>
      </w:pPr>
      <w:r>
        <w:rPr>
          <w:rFonts w:hint="eastAsia" w:hAnsi="宋体"/>
          <w:bCs/>
          <w:color w:val="auto"/>
          <w:sz w:val="24"/>
          <w:szCs w:val="24"/>
          <w:highlight w:val="none"/>
        </w:rPr>
        <w:t>明确养护车辆、保洁车辆指定停放点、有序停放、不占路、不堵路、不影响交通。停放安全、防盗、防火、防水、日常检查。</w:t>
      </w:r>
    </w:p>
    <w:p w14:paraId="25B37772">
      <w:pPr>
        <w:spacing w:line="360" w:lineRule="auto"/>
        <w:ind w:firstLine="482"/>
        <w:rPr>
          <w:rFonts w:hAnsi="宋体"/>
          <w:bCs/>
          <w:color w:val="auto"/>
          <w:sz w:val="24"/>
          <w:szCs w:val="24"/>
          <w:highlight w:val="none"/>
        </w:rPr>
      </w:pPr>
      <w:r>
        <w:rPr>
          <w:rFonts w:hint="eastAsia" w:hAnsi="宋体"/>
          <w:bCs/>
          <w:color w:val="auto"/>
          <w:sz w:val="24"/>
          <w:szCs w:val="24"/>
          <w:highlight w:val="none"/>
        </w:rPr>
        <w:t>3、车辆设备安全文明作业方案</w:t>
      </w:r>
    </w:p>
    <w:p w14:paraId="5D221380">
      <w:pPr>
        <w:spacing w:line="360" w:lineRule="auto"/>
        <w:ind w:firstLine="482"/>
        <w:rPr>
          <w:rFonts w:hAnsi="宋体"/>
          <w:bCs/>
          <w:color w:val="auto"/>
          <w:sz w:val="24"/>
          <w:szCs w:val="24"/>
          <w:highlight w:val="none"/>
        </w:rPr>
      </w:pPr>
      <w:r>
        <w:rPr>
          <w:rFonts w:hint="eastAsia" w:hAnsi="宋体"/>
          <w:bCs/>
          <w:color w:val="auto"/>
          <w:sz w:val="24"/>
          <w:szCs w:val="24"/>
          <w:highlight w:val="none"/>
        </w:rPr>
        <w:t>机械作业规范操作、文明作业、不扰民、不溅污、避高峰。车辆年检、保险、维修、清洁、安全驾驶要求。</w:t>
      </w:r>
    </w:p>
    <w:p w14:paraId="1A62E305">
      <w:pPr>
        <w:spacing w:line="360" w:lineRule="auto"/>
        <w:ind w:firstLine="482"/>
        <w:rPr>
          <w:rFonts w:hAnsi="宋体"/>
          <w:bCs/>
          <w:color w:val="auto"/>
          <w:sz w:val="24"/>
          <w:szCs w:val="24"/>
          <w:highlight w:val="none"/>
        </w:rPr>
      </w:pPr>
      <w:r>
        <w:rPr>
          <w:rFonts w:hint="eastAsia" w:hAnsi="宋体"/>
          <w:bCs/>
          <w:color w:val="auto"/>
          <w:sz w:val="24"/>
          <w:szCs w:val="24"/>
          <w:highlight w:val="none"/>
        </w:rPr>
        <w:t>4、安全文明作业监管措施</w:t>
      </w:r>
    </w:p>
    <w:p w14:paraId="3A589EA6">
      <w:pPr>
        <w:spacing w:line="360" w:lineRule="auto"/>
        <w:ind w:firstLine="482"/>
        <w:rPr>
          <w:rFonts w:hAnsi="宋体"/>
          <w:bCs/>
          <w:color w:val="auto"/>
          <w:sz w:val="24"/>
          <w:szCs w:val="24"/>
          <w:highlight w:val="none"/>
        </w:rPr>
      </w:pPr>
      <w:r>
        <w:rPr>
          <w:rFonts w:hint="eastAsia" w:hAnsi="宋体"/>
          <w:bCs/>
          <w:color w:val="auto"/>
          <w:sz w:val="24"/>
          <w:szCs w:val="24"/>
          <w:highlight w:val="none"/>
        </w:rPr>
        <w:t>日常巡检、抽查、视频监管、群众监督、问题整改、奖惩挂钩。接受采购人、交通、综合执法等部门监管。</w:t>
      </w:r>
    </w:p>
    <w:p w14:paraId="4A1D5429">
      <w:pPr>
        <w:spacing w:line="360" w:lineRule="auto"/>
        <w:ind w:firstLine="482"/>
        <w:rPr>
          <w:rFonts w:hAnsi="宋体"/>
          <w:b/>
          <w:bCs/>
          <w:color w:val="auto"/>
          <w:sz w:val="24"/>
          <w:szCs w:val="24"/>
          <w:highlight w:val="none"/>
        </w:rPr>
      </w:pPr>
      <w:r>
        <w:rPr>
          <w:rFonts w:hint="eastAsia" w:hAnsi="宋体"/>
          <w:b/>
          <w:bCs/>
          <w:color w:val="auto"/>
          <w:sz w:val="24"/>
          <w:szCs w:val="24"/>
          <w:highlight w:val="none"/>
        </w:rPr>
        <w:t>（五）重点难点问题分析及处置</w:t>
      </w:r>
    </w:p>
    <w:p w14:paraId="66DB035B">
      <w:pPr>
        <w:spacing w:line="360" w:lineRule="auto"/>
        <w:ind w:firstLine="482"/>
        <w:rPr>
          <w:rFonts w:hAnsi="宋体"/>
          <w:bCs/>
          <w:color w:val="auto"/>
          <w:sz w:val="24"/>
          <w:szCs w:val="24"/>
          <w:highlight w:val="none"/>
        </w:rPr>
      </w:pPr>
      <w:r>
        <w:rPr>
          <w:rFonts w:hint="eastAsia" w:hAnsi="宋体"/>
          <w:bCs/>
          <w:color w:val="auto"/>
          <w:sz w:val="24"/>
          <w:szCs w:val="24"/>
          <w:highlight w:val="none"/>
        </w:rPr>
        <w:t>1、工业区周边保洁</w:t>
      </w:r>
    </w:p>
    <w:p w14:paraId="6BECA670">
      <w:pPr>
        <w:spacing w:line="360" w:lineRule="auto"/>
        <w:ind w:firstLine="482"/>
        <w:rPr>
          <w:rFonts w:hAnsi="宋体"/>
          <w:bCs/>
          <w:color w:val="auto"/>
          <w:sz w:val="24"/>
          <w:szCs w:val="24"/>
          <w:highlight w:val="none"/>
        </w:rPr>
      </w:pPr>
      <w:r>
        <w:rPr>
          <w:rFonts w:hint="eastAsia" w:hAnsi="宋体"/>
          <w:bCs/>
          <w:color w:val="auto"/>
          <w:sz w:val="24"/>
          <w:szCs w:val="24"/>
          <w:highlight w:val="none"/>
        </w:rPr>
        <w:t>针对粉尘多、抛洒多、油污重、垃圾量大制定加强清扫、冲洗、频次加密。</w:t>
      </w:r>
    </w:p>
    <w:p w14:paraId="7AF96040">
      <w:pPr>
        <w:spacing w:line="360" w:lineRule="auto"/>
        <w:ind w:firstLine="482"/>
        <w:rPr>
          <w:rFonts w:hAnsi="宋体"/>
          <w:bCs/>
          <w:color w:val="auto"/>
          <w:sz w:val="24"/>
          <w:szCs w:val="24"/>
          <w:highlight w:val="none"/>
        </w:rPr>
      </w:pPr>
      <w:r>
        <w:rPr>
          <w:rFonts w:hint="eastAsia" w:hAnsi="宋体"/>
          <w:bCs/>
          <w:color w:val="auto"/>
          <w:sz w:val="24"/>
          <w:szCs w:val="24"/>
          <w:highlight w:val="none"/>
        </w:rPr>
        <w:t>2、落叶季节保洁</w:t>
      </w:r>
    </w:p>
    <w:p w14:paraId="42889975">
      <w:pPr>
        <w:spacing w:line="360" w:lineRule="auto"/>
        <w:ind w:firstLine="482"/>
        <w:rPr>
          <w:rFonts w:hAnsi="宋体"/>
          <w:bCs/>
          <w:color w:val="auto"/>
          <w:sz w:val="24"/>
          <w:szCs w:val="24"/>
          <w:highlight w:val="none"/>
        </w:rPr>
      </w:pPr>
      <w:r>
        <w:rPr>
          <w:rFonts w:hint="eastAsia" w:hAnsi="宋体"/>
          <w:bCs/>
          <w:color w:val="auto"/>
          <w:sz w:val="24"/>
          <w:szCs w:val="24"/>
          <w:highlight w:val="none"/>
        </w:rPr>
        <w:t>秋季集中清理、机械吸叶、人工补清、日产日清，防止堵塞排水口。</w:t>
      </w:r>
    </w:p>
    <w:p w14:paraId="10903F38">
      <w:pPr>
        <w:spacing w:line="360" w:lineRule="auto"/>
        <w:ind w:firstLine="482"/>
        <w:rPr>
          <w:rFonts w:hAnsi="宋体"/>
          <w:bCs/>
          <w:color w:val="auto"/>
          <w:sz w:val="24"/>
          <w:szCs w:val="24"/>
          <w:highlight w:val="none"/>
        </w:rPr>
      </w:pPr>
      <w:r>
        <w:rPr>
          <w:rFonts w:hint="eastAsia" w:hAnsi="宋体"/>
          <w:bCs/>
          <w:color w:val="auto"/>
          <w:sz w:val="24"/>
          <w:szCs w:val="24"/>
          <w:highlight w:val="none"/>
        </w:rPr>
        <w:t>3、乱倒垃圾严重区域处置</w:t>
      </w:r>
    </w:p>
    <w:p w14:paraId="60343D42">
      <w:pPr>
        <w:spacing w:line="360" w:lineRule="auto"/>
        <w:ind w:firstLine="482"/>
        <w:rPr>
          <w:rFonts w:hAnsi="宋体"/>
          <w:bCs/>
          <w:color w:val="auto"/>
          <w:sz w:val="24"/>
          <w:szCs w:val="24"/>
          <w:highlight w:val="none"/>
        </w:rPr>
      </w:pPr>
      <w:r>
        <w:rPr>
          <w:rFonts w:hint="eastAsia" w:hAnsi="宋体"/>
          <w:bCs/>
          <w:color w:val="auto"/>
          <w:sz w:val="24"/>
          <w:szCs w:val="24"/>
          <w:highlight w:val="none"/>
        </w:rPr>
        <w:t>重点盯防、加密巡查、快速清理、上报监管、长效管控。</w:t>
      </w:r>
    </w:p>
    <w:p w14:paraId="5498825B">
      <w:pPr>
        <w:spacing w:line="360" w:lineRule="auto"/>
        <w:ind w:firstLine="482"/>
        <w:rPr>
          <w:rFonts w:hAnsi="宋体"/>
          <w:bCs/>
          <w:color w:val="auto"/>
          <w:sz w:val="24"/>
          <w:szCs w:val="24"/>
          <w:highlight w:val="none"/>
        </w:rPr>
      </w:pPr>
      <w:r>
        <w:rPr>
          <w:rFonts w:hAnsi="宋体"/>
          <w:bCs/>
          <w:color w:val="auto"/>
          <w:sz w:val="24"/>
          <w:szCs w:val="24"/>
          <w:highlight w:val="none"/>
        </w:rPr>
        <w:t>4</w:t>
      </w:r>
      <w:r>
        <w:rPr>
          <w:rFonts w:hint="eastAsia" w:hAnsi="宋体"/>
          <w:bCs/>
          <w:color w:val="auto"/>
          <w:sz w:val="24"/>
          <w:szCs w:val="24"/>
          <w:highlight w:val="none"/>
        </w:rPr>
        <w:t>、工程车密集区域保洁</w:t>
      </w:r>
    </w:p>
    <w:p w14:paraId="0E4B74E5">
      <w:pPr>
        <w:spacing w:line="360" w:lineRule="auto"/>
        <w:ind w:firstLine="482"/>
        <w:rPr>
          <w:rFonts w:hAnsi="宋体"/>
          <w:bCs/>
          <w:color w:val="auto"/>
          <w:sz w:val="24"/>
          <w:szCs w:val="24"/>
          <w:highlight w:val="none"/>
        </w:rPr>
      </w:pPr>
      <w:r>
        <w:rPr>
          <w:rFonts w:hint="eastAsia" w:hAnsi="宋体"/>
          <w:bCs/>
          <w:color w:val="auto"/>
          <w:sz w:val="24"/>
          <w:szCs w:val="24"/>
          <w:highlight w:val="none"/>
        </w:rPr>
        <w:t>针对遗撒、泥土、碎石、污染重制定先清理+后冲洗+巡回保净。</w:t>
      </w:r>
    </w:p>
    <w:p w14:paraId="1C922C41">
      <w:pPr>
        <w:spacing w:line="360" w:lineRule="auto"/>
        <w:ind w:firstLine="482"/>
        <w:rPr>
          <w:rFonts w:hAnsi="宋体"/>
          <w:b/>
          <w:bCs/>
          <w:color w:val="auto"/>
          <w:sz w:val="24"/>
          <w:szCs w:val="24"/>
          <w:highlight w:val="none"/>
        </w:rPr>
      </w:pPr>
      <w:bookmarkStart w:id="16" w:name="OLE_LINK61"/>
      <w:bookmarkStart w:id="17" w:name="OLE_LINK62"/>
      <w:r>
        <w:rPr>
          <w:rFonts w:hint="eastAsia" w:hAnsi="宋体"/>
          <w:b/>
          <w:bCs/>
          <w:color w:val="auto"/>
          <w:sz w:val="24"/>
          <w:szCs w:val="24"/>
          <w:highlight w:val="none"/>
        </w:rPr>
        <w:t>八、▲费用支付与结算</w:t>
      </w:r>
    </w:p>
    <w:p w14:paraId="475A4486">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（1）合同签订后，甲方支付合同金额的10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作为预付款，预付款于第一次支付季度服务费中扣回。</w:t>
      </w:r>
    </w:p>
    <w:p w14:paraId="1EAE7E2D">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（2）服务费采用每月核定，按季度支付的方式，程序如下：</w:t>
      </w:r>
    </w:p>
    <w:bookmarkEnd w:id="16"/>
    <w:bookmarkEnd w:id="17"/>
    <w:p w14:paraId="4CE6C3A7">
      <w:pPr>
        <w:pStyle w:val="12"/>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）乙方按月于月末提出服务费清单报甲方。</w:t>
      </w:r>
    </w:p>
    <w:p w14:paraId="7CD5D635">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2）甲方在收到乙方报送的服务费清单及相关资料后，完成审核。</w:t>
      </w:r>
    </w:p>
    <w:p w14:paraId="7944ACF2">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3）每季度由甲方将核定的服务费拨付给乙方。</w:t>
      </w:r>
    </w:p>
    <w:p w14:paraId="2914714D">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）结算方式：月度核定服务费（元）=月度服务费-考核扣款。</w:t>
      </w:r>
    </w:p>
    <w:p w14:paraId="362A35A7">
      <w:pPr>
        <w:spacing w:line="360" w:lineRule="auto"/>
        <w:ind w:firstLine="482"/>
        <w:rPr>
          <w:rFonts w:hAnsi="宋体"/>
          <w:b/>
          <w:color w:val="auto"/>
          <w:sz w:val="24"/>
          <w:szCs w:val="24"/>
          <w:highlight w:val="none"/>
        </w:rPr>
      </w:pPr>
      <w:r>
        <w:rPr>
          <w:rFonts w:hint="eastAsia" w:hAnsi="宋体"/>
          <w:b/>
          <w:color w:val="auto"/>
          <w:sz w:val="24"/>
          <w:szCs w:val="24"/>
          <w:highlight w:val="none"/>
        </w:rPr>
        <w:t>九、项目验收：</w:t>
      </w:r>
    </w:p>
    <w:p w14:paraId="46BC40FF">
      <w:pPr>
        <w:spacing w:line="360" w:lineRule="auto"/>
        <w:ind w:firstLine="482"/>
        <w:rPr>
          <w:rFonts w:hAnsi="宋体"/>
          <w:bCs/>
          <w:color w:val="auto"/>
          <w:sz w:val="24"/>
          <w:szCs w:val="24"/>
          <w:highlight w:val="none"/>
        </w:rPr>
      </w:pPr>
      <w:r>
        <w:rPr>
          <w:rFonts w:hint="eastAsia" w:hAnsi="宋体"/>
          <w:bCs/>
          <w:color w:val="auto"/>
          <w:sz w:val="24"/>
          <w:szCs w:val="24"/>
          <w:highlight w:val="none"/>
        </w:rPr>
        <w:t>1、履约验收的实施主体：</w:t>
      </w:r>
      <w:r>
        <w:rPr>
          <w:rFonts w:hint="eastAsia" w:hAnsi="宋体"/>
          <w:color w:val="auto"/>
          <w:sz w:val="24"/>
          <w:szCs w:val="24"/>
          <w:highlight w:val="none"/>
        </w:rPr>
        <w:t>太仓市交通运输局</w:t>
      </w:r>
      <w:r>
        <w:rPr>
          <w:rFonts w:hint="eastAsia" w:hAnsi="宋体"/>
          <w:bCs/>
          <w:color w:val="auto"/>
          <w:sz w:val="24"/>
          <w:szCs w:val="24"/>
          <w:highlight w:val="none"/>
        </w:rPr>
        <w:t>。</w:t>
      </w:r>
    </w:p>
    <w:p w14:paraId="5457C9A6">
      <w:pPr>
        <w:spacing w:line="360" w:lineRule="auto"/>
        <w:ind w:firstLine="482"/>
        <w:rPr>
          <w:rFonts w:hAnsi="宋体"/>
          <w:bCs/>
          <w:color w:val="auto"/>
          <w:sz w:val="24"/>
          <w:szCs w:val="24"/>
          <w:highlight w:val="none"/>
        </w:rPr>
      </w:pPr>
      <w:r>
        <w:rPr>
          <w:rFonts w:hAnsi="宋体"/>
          <w:bCs/>
          <w:color w:val="auto"/>
          <w:sz w:val="24"/>
          <w:szCs w:val="24"/>
          <w:highlight w:val="none"/>
        </w:rPr>
        <w:t>2</w:t>
      </w:r>
      <w:r>
        <w:rPr>
          <w:rFonts w:hint="eastAsia" w:hAnsi="宋体"/>
          <w:bCs/>
          <w:color w:val="auto"/>
          <w:sz w:val="24"/>
          <w:szCs w:val="24"/>
          <w:highlight w:val="none"/>
        </w:rPr>
        <w:t>、履约验收时间：按月考核，项目结束后一次性验收。采购人向供应商发出《政府采购履约验收通知单》</w:t>
      </w:r>
      <w:bookmarkStart w:id="18" w:name="OLE_LINK58"/>
      <w:bookmarkStart w:id="19" w:name="OLE_LINK57"/>
      <w:r>
        <w:rPr>
          <w:rFonts w:hint="eastAsia" w:hAnsi="宋体"/>
          <w:bCs/>
          <w:color w:val="auto"/>
          <w:sz w:val="24"/>
          <w:szCs w:val="24"/>
          <w:highlight w:val="none"/>
        </w:rPr>
        <w:t>（本章附件）</w:t>
      </w:r>
      <w:bookmarkEnd w:id="18"/>
      <w:bookmarkEnd w:id="19"/>
      <w:r>
        <w:rPr>
          <w:rFonts w:hint="eastAsia" w:hAnsi="宋体"/>
          <w:bCs/>
          <w:color w:val="auto"/>
          <w:sz w:val="24"/>
          <w:szCs w:val="24"/>
          <w:highlight w:val="none"/>
        </w:rPr>
        <w:t>，验收完成后形成《</w:t>
      </w:r>
      <w:bookmarkStart w:id="20" w:name="OLE_LINK48"/>
      <w:bookmarkStart w:id="21" w:name="OLE_LINK49"/>
      <w:r>
        <w:rPr>
          <w:rFonts w:hint="eastAsia" w:hAnsi="宋体"/>
          <w:bCs/>
          <w:color w:val="auto"/>
          <w:sz w:val="24"/>
          <w:szCs w:val="24"/>
          <w:highlight w:val="none"/>
        </w:rPr>
        <w:t>政府采购履约验收书</w:t>
      </w:r>
      <w:bookmarkEnd w:id="20"/>
      <w:bookmarkEnd w:id="21"/>
      <w:r>
        <w:rPr>
          <w:rFonts w:hint="eastAsia" w:hAnsi="宋体"/>
          <w:bCs/>
          <w:color w:val="auto"/>
          <w:sz w:val="24"/>
          <w:szCs w:val="24"/>
          <w:highlight w:val="none"/>
        </w:rPr>
        <w:t>》（本章附件）。</w:t>
      </w:r>
    </w:p>
    <w:p w14:paraId="3BD8F9D6">
      <w:pPr>
        <w:spacing w:line="360" w:lineRule="auto"/>
        <w:ind w:firstLine="482"/>
        <w:rPr>
          <w:rFonts w:hAnsi="宋体"/>
          <w:bCs/>
          <w:color w:val="auto"/>
          <w:sz w:val="24"/>
          <w:szCs w:val="24"/>
          <w:highlight w:val="none"/>
        </w:rPr>
      </w:pPr>
      <w:r>
        <w:rPr>
          <w:rFonts w:hint="eastAsia" w:hAnsi="宋体"/>
          <w:bCs/>
          <w:color w:val="auto"/>
          <w:sz w:val="24"/>
          <w:szCs w:val="24"/>
          <w:highlight w:val="none"/>
        </w:rPr>
        <w:t>3、履约验收方式：一次性验收，由采购人进行考评验收。</w:t>
      </w:r>
    </w:p>
    <w:p w14:paraId="5070F8A0">
      <w:pPr>
        <w:spacing w:line="360" w:lineRule="auto"/>
        <w:ind w:firstLine="482"/>
        <w:rPr>
          <w:rFonts w:hAnsi="宋体"/>
          <w:bCs/>
          <w:color w:val="auto"/>
          <w:sz w:val="24"/>
          <w:szCs w:val="24"/>
          <w:highlight w:val="none"/>
        </w:rPr>
      </w:pPr>
      <w:r>
        <w:rPr>
          <w:rFonts w:hint="eastAsia" w:hAnsi="宋体"/>
          <w:bCs/>
          <w:color w:val="auto"/>
          <w:sz w:val="24"/>
          <w:szCs w:val="24"/>
          <w:highlight w:val="none"/>
        </w:rPr>
        <w:t>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p>
    <w:p w14:paraId="765C78C7">
      <w:pPr>
        <w:spacing w:line="360" w:lineRule="auto"/>
        <w:ind w:firstLine="482"/>
        <w:rPr>
          <w:rFonts w:hAnsi="宋体"/>
          <w:b/>
          <w:color w:val="auto"/>
          <w:sz w:val="24"/>
          <w:szCs w:val="24"/>
          <w:highlight w:val="none"/>
        </w:rPr>
      </w:pPr>
      <w:r>
        <w:rPr>
          <w:rFonts w:hint="eastAsia" w:hAnsi="宋体"/>
          <w:b/>
          <w:color w:val="auto"/>
          <w:sz w:val="24"/>
          <w:szCs w:val="24"/>
          <w:highlight w:val="none"/>
        </w:rPr>
        <w:t>十、投标说明</w:t>
      </w:r>
    </w:p>
    <w:p w14:paraId="4B687C33">
      <w:pPr>
        <w:spacing w:line="360" w:lineRule="auto"/>
        <w:ind w:firstLine="480"/>
        <w:rPr>
          <w:rFonts w:hAnsi="宋体"/>
          <w:color w:val="auto"/>
          <w:sz w:val="24"/>
          <w:szCs w:val="24"/>
          <w:highlight w:val="none"/>
        </w:rPr>
      </w:pPr>
      <w:r>
        <w:rPr>
          <w:rFonts w:hint="eastAsia" w:hAnsi="宋体"/>
          <w:color w:val="auto"/>
          <w:sz w:val="24"/>
          <w:szCs w:val="24"/>
          <w:highlight w:val="none"/>
        </w:rPr>
        <w:t>1、投标人所投服务内容应能够至少达到或优于以上服务要求，同时明确服务内容、人员配备及交通工具等设备的投入。</w:t>
      </w:r>
    </w:p>
    <w:p w14:paraId="5F5E6E0C">
      <w:pPr>
        <w:spacing w:line="360" w:lineRule="auto"/>
        <w:ind w:firstLine="480"/>
        <w:rPr>
          <w:rFonts w:hAnsi="宋体"/>
          <w:color w:val="auto"/>
          <w:sz w:val="24"/>
          <w:szCs w:val="24"/>
          <w:highlight w:val="none"/>
        </w:rPr>
      </w:pPr>
      <w:r>
        <w:rPr>
          <w:rFonts w:hint="eastAsia" w:hAnsi="宋体"/>
          <w:color w:val="auto"/>
          <w:sz w:val="24"/>
          <w:szCs w:val="24"/>
          <w:highlight w:val="none"/>
        </w:rPr>
        <w:t>2、投标人必须承诺招标文件中提出的服务与要求。如果以其中某些条款不响应时，应在文件中逐条列出，未列出的视同响应。</w:t>
      </w:r>
    </w:p>
    <w:p w14:paraId="0477EC03">
      <w:pPr>
        <w:spacing w:line="360" w:lineRule="auto"/>
        <w:ind w:firstLine="480"/>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、中标人有责任配合采购人接受上级领导部门的监督、检查，提供必须的资料。</w:t>
      </w:r>
    </w:p>
    <w:p w14:paraId="2AB9C3CA">
      <w:pPr>
        <w:spacing w:line="360" w:lineRule="auto"/>
        <w:ind w:firstLine="480"/>
        <w:rPr>
          <w:rFonts w:hAnsi="宋体"/>
          <w:b/>
          <w:color w:val="auto"/>
          <w:sz w:val="24"/>
          <w:szCs w:val="24"/>
          <w:highlight w:val="none"/>
        </w:rPr>
      </w:pPr>
      <w:r>
        <w:rPr>
          <w:rFonts w:hAnsi="宋体"/>
          <w:b/>
          <w:color w:val="auto"/>
          <w:sz w:val="24"/>
          <w:szCs w:val="24"/>
          <w:highlight w:val="none"/>
        </w:rPr>
        <w:t>4</w:t>
      </w:r>
      <w:r>
        <w:rPr>
          <w:rFonts w:hint="eastAsia" w:hAnsi="宋体"/>
          <w:b/>
          <w:color w:val="auto"/>
          <w:sz w:val="24"/>
          <w:szCs w:val="24"/>
          <w:highlight w:val="none"/>
        </w:rPr>
        <w:t>、本章“▲”项不得负偏离，要求提供证明材料的须提供，否则视为无效响应。</w:t>
      </w:r>
    </w:p>
    <w:p w14:paraId="11C1ABD1">
      <w:pPr>
        <w:spacing w:line="360" w:lineRule="auto"/>
        <w:ind w:firstLine="480"/>
        <w:rPr>
          <w:rFonts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、采购人不接受投标人任何因遗漏报价而发生的费用追加，因投标人违反《劳动法》等法律法规而造成采购人的连带责任和损失全部由中标人承担。</w:t>
      </w:r>
    </w:p>
    <w:p w14:paraId="480440F0">
      <w:pPr>
        <w:spacing w:line="360" w:lineRule="auto"/>
        <w:ind w:firstLine="480"/>
        <w:rPr>
          <w:rFonts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、本项目不允许转包、分包，中标单位不得部分或全部转让其应履行的合同义务。中标单位擅自转让合同、转包或分包的，采购单位有权解除本合同，转包或分包造成采购人损失的，由中标单位承担。</w:t>
      </w:r>
    </w:p>
    <w:p w14:paraId="595C1F8A">
      <w:pPr>
        <w:widowControl/>
        <w:spacing w:line="360" w:lineRule="auto"/>
        <w:ind w:firstLine="480"/>
        <w:rPr>
          <w:rFonts w:hAnsi="宋体" w:cs="Times New Roman"/>
          <w:color w:val="auto"/>
          <w:sz w:val="24"/>
          <w:szCs w:val="24"/>
          <w:highlight w:val="none"/>
        </w:rPr>
      </w:pPr>
      <w:r>
        <w:rPr>
          <w:rFonts w:hAnsi="宋体" w:cs="Times New Roman"/>
          <w:color w:val="auto"/>
          <w:sz w:val="24"/>
          <w:szCs w:val="24"/>
          <w:highlight w:val="none"/>
        </w:rPr>
        <w:t>7</w:t>
      </w:r>
      <w:r>
        <w:rPr>
          <w:rFonts w:hint="eastAsia" w:hAnsi="宋体" w:cs="Times New Roman"/>
          <w:color w:val="auto"/>
          <w:sz w:val="24"/>
          <w:szCs w:val="24"/>
          <w:highlight w:val="none"/>
        </w:rPr>
        <w:t>、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p>
    <w:p w14:paraId="11E7E7D6">
      <w:pPr>
        <w:spacing w:line="360" w:lineRule="auto"/>
        <w:ind w:firstLine="480"/>
        <w:rPr>
          <w:rFonts w:hAnsi="宋体"/>
          <w:b/>
          <w:color w:val="auto"/>
          <w:sz w:val="24"/>
          <w:szCs w:val="24"/>
          <w:highlight w:val="none"/>
        </w:rPr>
      </w:pPr>
      <w:r>
        <w:rPr>
          <w:rFonts w:hint="eastAsia" w:hAnsi="宋体" w:cs="Arial"/>
          <w:color w:val="auto"/>
          <w:sz w:val="24"/>
          <w:szCs w:val="24"/>
          <w:highlight w:val="none"/>
        </w:rPr>
        <w:t>8、所有人员需签订合同，且须对符合参加基本社会养老保险要求的用工人员依法为其办理参保手续，人员工资应不低于太仓市最低工资标准，加班费用支付按政策法规规定执行。</w:t>
      </w:r>
    </w:p>
    <w:p w14:paraId="368EA837">
      <w:pPr>
        <w:spacing w:line="360" w:lineRule="auto"/>
        <w:ind w:firstLine="480"/>
        <w:rPr>
          <w:rFonts w:hAnsi="宋体"/>
          <w:b/>
          <w:color w:val="auto"/>
          <w:sz w:val="24"/>
          <w:szCs w:val="24"/>
          <w:highlight w:val="none"/>
        </w:rPr>
        <w:sectPr>
          <w:pgSz w:w="11906" w:h="16838"/>
          <w:pgMar w:top="1361" w:right="1304" w:bottom="1304" w:left="1361" w:header="851" w:footer="992" w:gutter="0"/>
          <w:cols w:space="720" w:num="1"/>
          <w:docGrid w:linePitch="360" w:charSpace="0"/>
        </w:sectPr>
      </w:pPr>
      <w:r>
        <w:rPr>
          <w:rFonts w:hAnsi="宋体"/>
          <w:b/>
          <w:color w:val="auto"/>
          <w:sz w:val="24"/>
          <w:szCs w:val="24"/>
          <w:highlight w:val="none"/>
        </w:rPr>
        <w:t>9</w:t>
      </w:r>
      <w:r>
        <w:rPr>
          <w:rFonts w:hint="eastAsia" w:hAnsi="宋体"/>
          <w:b/>
          <w:color w:val="auto"/>
          <w:sz w:val="24"/>
          <w:szCs w:val="24"/>
          <w:highlight w:val="none"/>
        </w:rPr>
        <w:t>、凡涉及本项目招标文件的补充、修改，均以苏州政府采购网、苏采云发布的信息为准。</w:t>
      </w:r>
    </w:p>
    <w:p w14:paraId="501DE57C">
      <w:pPr>
        <w:widowControl/>
        <w:spacing w:after="200" w:line="500" w:lineRule="exact"/>
        <w:rPr>
          <w:rFonts w:hAnsi="宋体"/>
          <w:b/>
          <w:color w:val="auto"/>
          <w:sz w:val="24"/>
          <w:szCs w:val="24"/>
          <w:highlight w:val="none"/>
        </w:rPr>
      </w:pPr>
      <w:r>
        <w:rPr>
          <w:rFonts w:hint="eastAsia" w:hAnsi="宋体"/>
          <w:b/>
          <w:color w:val="auto"/>
          <w:sz w:val="24"/>
          <w:szCs w:val="24"/>
          <w:highlight w:val="none"/>
        </w:rPr>
        <w:t>附件1：服务类项目履约验收方案</w:t>
      </w:r>
    </w:p>
    <w:p w14:paraId="1C7E6DCB">
      <w:pPr>
        <w:widowControl/>
        <w:spacing w:line="460" w:lineRule="exact"/>
        <w:rPr>
          <w:rFonts w:hAnsi="宋体"/>
          <w:b/>
          <w:color w:val="auto"/>
          <w:sz w:val="24"/>
          <w:szCs w:val="24"/>
          <w:highlight w:val="none"/>
        </w:rPr>
      </w:pPr>
      <w:r>
        <w:rPr>
          <w:rFonts w:hint="eastAsia" w:hAnsi="宋体"/>
          <w:b/>
          <w:color w:val="auto"/>
          <w:sz w:val="24"/>
          <w:szCs w:val="24"/>
          <w:highlight w:val="none"/>
        </w:rPr>
        <w:t>一、项目概况</w:t>
      </w:r>
    </w:p>
    <w:p w14:paraId="1315F546">
      <w:pPr>
        <w:widowControl/>
        <w:spacing w:line="460" w:lineRule="exact"/>
        <w:rPr>
          <w:rFonts w:hAnsi="宋体"/>
          <w:color w:val="auto"/>
          <w:sz w:val="24"/>
          <w:szCs w:val="24"/>
          <w:highlight w:val="none"/>
        </w:rPr>
      </w:pPr>
      <w:r>
        <w:rPr>
          <w:rFonts w:hint="eastAsia" w:hAnsi="宋体"/>
          <w:color w:val="auto"/>
          <w:sz w:val="24"/>
          <w:szCs w:val="24"/>
          <w:highlight w:val="none"/>
        </w:rPr>
        <w:t>项目名称：太仓市公路保洁及应急处置项目</w:t>
      </w:r>
    </w:p>
    <w:p w14:paraId="7E0CE34E">
      <w:pPr>
        <w:widowControl/>
        <w:spacing w:line="460" w:lineRule="exact"/>
        <w:rPr>
          <w:rFonts w:hAnsi="宋体"/>
          <w:color w:val="auto"/>
          <w:sz w:val="24"/>
          <w:szCs w:val="24"/>
          <w:highlight w:val="none"/>
        </w:rPr>
      </w:pPr>
      <w:r>
        <w:rPr>
          <w:rFonts w:hint="eastAsia" w:hAnsi="宋体"/>
          <w:color w:val="auto"/>
          <w:sz w:val="24"/>
          <w:szCs w:val="24"/>
          <w:highlight w:val="none"/>
        </w:rPr>
        <w:t>供应商名称：</w:t>
      </w:r>
    </w:p>
    <w:p w14:paraId="327AECFE">
      <w:pPr>
        <w:widowControl/>
        <w:spacing w:line="460" w:lineRule="exact"/>
        <w:rPr>
          <w:rFonts w:hAnsi="宋体"/>
          <w:color w:val="auto"/>
          <w:sz w:val="24"/>
          <w:szCs w:val="24"/>
          <w:highlight w:val="none"/>
        </w:rPr>
      </w:pPr>
      <w:r>
        <w:rPr>
          <w:rFonts w:hint="eastAsia" w:hAnsi="宋体"/>
          <w:color w:val="auto"/>
          <w:sz w:val="24"/>
          <w:szCs w:val="24"/>
          <w:highlight w:val="none"/>
        </w:rPr>
        <w:t>合同金额：</w:t>
      </w:r>
    </w:p>
    <w:p w14:paraId="30BB5107">
      <w:pPr>
        <w:widowControl/>
        <w:spacing w:line="460" w:lineRule="exact"/>
        <w:rPr>
          <w:rFonts w:hAnsi="宋体"/>
          <w:color w:val="auto"/>
          <w:sz w:val="24"/>
          <w:szCs w:val="24"/>
          <w:highlight w:val="none"/>
        </w:rPr>
      </w:pPr>
      <w:r>
        <w:rPr>
          <w:rFonts w:hint="eastAsia" w:hAnsi="宋体"/>
          <w:color w:val="auto"/>
          <w:sz w:val="24"/>
          <w:szCs w:val="24"/>
          <w:highlight w:val="none"/>
        </w:rPr>
        <w:t>验收主体：太仓市交通运输局</w:t>
      </w:r>
    </w:p>
    <w:p w14:paraId="15E2A615">
      <w:pPr>
        <w:widowControl/>
        <w:spacing w:line="460" w:lineRule="exact"/>
        <w:rPr>
          <w:rFonts w:hAnsi="宋体"/>
          <w:b/>
          <w:color w:val="auto"/>
          <w:sz w:val="24"/>
          <w:szCs w:val="24"/>
          <w:highlight w:val="none"/>
        </w:rPr>
      </w:pPr>
      <w:r>
        <w:rPr>
          <w:rFonts w:hint="eastAsia" w:hAnsi="宋体"/>
          <w:b/>
          <w:color w:val="auto"/>
          <w:sz w:val="24"/>
          <w:szCs w:val="24"/>
          <w:highlight w:val="none"/>
        </w:rPr>
        <w:t>二、验收目的</w:t>
      </w:r>
    </w:p>
    <w:p w14:paraId="6094BA46">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518B6A53">
      <w:pPr>
        <w:widowControl/>
        <w:spacing w:line="460" w:lineRule="exact"/>
        <w:rPr>
          <w:rFonts w:hAnsi="宋体"/>
          <w:b/>
          <w:color w:val="auto"/>
          <w:sz w:val="24"/>
          <w:szCs w:val="24"/>
          <w:highlight w:val="none"/>
        </w:rPr>
      </w:pPr>
      <w:r>
        <w:rPr>
          <w:rFonts w:hint="eastAsia" w:hAnsi="宋体"/>
          <w:b/>
          <w:color w:val="auto"/>
          <w:sz w:val="24"/>
          <w:szCs w:val="24"/>
          <w:highlight w:val="none"/>
        </w:rPr>
        <w:t>三、验收依据</w:t>
      </w:r>
    </w:p>
    <w:p w14:paraId="714954F4">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88EFEFE">
      <w:pPr>
        <w:widowControl/>
        <w:spacing w:line="460" w:lineRule="exact"/>
        <w:rPr>
          <w:rFonts w:hAnsi="宋体"/>
          <w:b/>
          <w:color w:val="auto"/>
          <w:sz w:val="24"/>
          <w:szCs w:val="24"/>
          <w:highlight w:val="none"/>
        </w:rPr>
      </w:pPr>
      <w:r>
        <w:rPr>
          <w:rFonts w:hint="eastAsia" w:hAnsi="宋体"/>
          <w:b/>
          <w:color w:val="auto"/>
          <w:sz w:val="24"/>
          <w:szCs w:val="24"/>
          <w:highlight w:val="none"/>
        </w:rPr>
        <w:t>四、验收责任主体</w:t>
      </w:r>
    </w:p>
    <w:p w14:paraId="44366BEB">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2C17C94E">
      <w:pPr>
        <w:widowControl/>
        <w:spacing w:line="460" w:lineRule="exact"/>
        <w:rPr>
          <w:rFonts w:hAnsi="宋体"/>
          <w:b/>
          <w:color w:val="auto"/>
          <w:sz w:val="24"/>
          <w:szCs w:val="24"/>
          <w:highlight w:val="none"/>
        </w:rPr>
      </w:pPr>
      <w:r>
        <w:rPr>
          <w:rFonts w:hint="eastAsia" w:hAnsi="宋体"/>
          <w:b/>
          <w:color w:val="auto"/>
          <w:sz w:val="24"/>
          <w:szCs w:val="24"/>
          <w:highlight w:val="none"/>
        </w:rPr>
        <w:t>五、验收准备</w:t>
      </w:r>
    </w:p>
    <w:p w14:paraId="293EF8E7">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5.1、验收准备</w:t>
      </w:r>
    </w:p>
    <w:p w14:paraId="7CDE5B48">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5.1.1、政府采购合同约定的履约验收条件达到，采购人应当在5个工作日内启动履约验收工作，并向供应商发出政府采购履约验收通知单。</w:t>
      </w:r>
    </w:p>
    <w:p w14:paraId="42F1344A">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5.1.2、供应商应当配合采购人、采购代理机构做好项目验收工作，及时提供与项目验收相关的生产、技术、服务、数量、质量、安全、合格证明及验收所必须具备的其他材料。</w:t>
      </w:r>
    </w:p>
    <w:p w14:paraId="3C13DABF">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5.2、验收小组</w:t>
      </w:r>
    </w:p>
    <w:p w14:paraId="3DD282F2">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5.2.1、采购人应当成立验收小组，负责采购项目履约验收具体工作，验收小组一般由采购人指定的本单位3名（含）以上单数工作人员组成，并确定一名负责人。</w:t>
      </w:r>
    </w:p>
    <w:p w14:paraId="5D10B88E">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A22D12C">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5.3、参与验收人员</w:t>
      </w:r>
    </w:p>
    <w:p w14:paraId="332BFB99">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5.3.1、技术复杂或专业性强的政府采购项目，可以邀请有资质的第三方专业机构参加验收并出具专业意见。</w:t>
      </w:r>
    </w:p>
    <w:p w14:paraId="4C894705">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5.3.2、对于采购人和使用人分离的采购项目，采购人或其委托的采购代理机构应当邀请实际使用人参与验收。</w:t>
      </w:r>
    </w:p>
    <w:p w14:paraId="08D07530">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5.3.3、政府向社会公众提供的公共服务项目，验收时应当邀请服务对象进行公共服务项目满意度评价，评价结果作为履约验收的参考依据。</w:t>
      </w:r>
    </w:p>
    <w:p w14:paraId="4115E428">
      <w:pPr>
        <w:widowControl/>
        <w:spacing w:line="460" w:lineRule="exact"/>
        <w:rPr>
          <w:rFonts w:hAnsi="宋体"/>
          <w:b/>
          <w:color w:val="auto"/>
          <w:sz w:val="24"/>
          <w:szCs w:val="24"/>
          <w:highlight w:val="none"/>
        </w:rPr>
      </w:pPr>
      <w:r>
        <w:rPr>
          <w:rFonts w:hint="eastAsia" w:hAnsi="宋体"/>
          <w:b/>
          <w:color w:val="auto"/>
          <w:sz w:val="24"/>
          <w:szCs w:val="24"/>
          <w:highlight w:val="none"/>
        </w:rPr>
        <w:t>六、验收方式(形式)</w:t>
      </w:r>
    </w:p>
    <w:p w14:paraId="72E6A1CD">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6.1、按月考评验收，由采购人进行考评验收。</w:t>
      </w:r>
    </w:p>
    <w:p w14:paraId="4BF7F3C5">
      <w:pPr>
        <w:widowControl/>
        <w:spacing w:line="460" w:lineRule="exact"/>
        <w:rPr>
          <w:rFonts w:hAnsi="宋体"/>
          <w:b/>
          <w:color w:val="auto"/>
          <w:sz w:val="24"/>
          <w:szCs w:val="24"/>
          <w:highlight w:val="none"/>
        </w:rPr>
      </w:pPr>
      <w:r>
        <w:rPr>
          <w:rFonts w:hint="eastAsia" w:hAnsi="宋体"/>
          <w:b/>
          <w:color w:val="auto"/>
          <w:sz w:val="24"/>
          <w:szCs w:val="24"/>
          <w:highlight w:val="none"/>
        </w:rPr>
        <w:t>七、验收内容：</w:t>
      </w:r>
    </w:p>
    <w:p w14:paraId="7E7C20A3">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7.1、验收内容</w:t>
      </w:r>
    </w:p>
    <w:p w14:paraId="40A2A68B">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p>
    <w:p w14:paraId="33FED781">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7.1.2、项目验收范围应当完整，与采购合同一致，不得省略、遗漏和缺失，也不得擅自扩大范围。</w:t>
      </w:r>
    </w:p>
    <w:p w14:paraId="62F3A5DC">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7.1.3、项目验收标准应包括所有客观、量化指标，符合采购合同约定，未进行相应约定的，应当符合法律法规、政策要求、国家标准、行业标准，地方标准或企业标准等有关标准。</w:t>
      </w:r>
    </w:p>
    <w:p w14:paraId="45B80EEE">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7.1.4、项目验收意见应当客观真实。验收小组成员意见不一致时，按照少数服从多数的原则作出验收意见。</w:t>
      </w:r>
    </w:p>
    <w:p w14:paraId="75686DCF">
      <w:pPr>
        <w:widowControl/>
        <w:spacing w:line="460" w:lineRule="exact"/>
        <w:ind w:firstLine="482" w:firstLineChars="200"/>
        <w:rPr>
          <w:rFonts w:hAnsi="宋体"/>
          <w:b/>
          <w:color w:val="auto"/>
          <w:sz w:val="24"/>
          <w:szCs w:val="24"/>
          <w:highlight w:val="none"/>
        </w:rPr>
      </w:pPr>
      <w:r>
        <w:rPr>
          <w:rFonts w:hint="eastAsia" w:hAnsi="宋体"/>
          <w:b/>
          <w:color w:val="auto"/>
          <w:sz w:val="24"/>
          <w:szCs w:val="24"/>
          <w:highlight w:val="none"/>
        </w:rPr>
        <w:t>7.2、验收记录</w:t>
      </w:r>
    </w:p>
    <w:p w14:paraId="363A9AFC">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7.2.1、验收小组应当要求参与验收的供应商、专业机构、专家和服务对象等出具书面意见，作为验收书的重要组成部分。</w:t>
      </w:r>
    </w:p>
    <w:p w14:paraId="7CA31D75">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2D9A4229">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6274F3D1">
      <w:pPr>
        <w:widowControl/>
        <w:spacing w:line="460" w:lineRule="exact"/>
        <w:rPr>
          <w:rFonts w:hAnsi="宋体"/>
          <w:b/>
          <w:color w:val="auto"/>
          <w:sz w:val="24"/>
          <w:szCs w:val="24"/>
          <w:highlight w:val="none"/>
        </w:rPr>
      </w:pPr>
      <w:r>
        <w:rPr>
          <w:rFonts w:hint="eastAsia" w:hAnsi="宋体"/>
          <w:b/>
          <w:color w:val="auto"/>
          <w:sz w:val="24"/>
          <w:szCs w:val="24"/>
          <w:highlight w:val="none"/>
        </w:rPr>
        <w:t>八、验收结果</w:t>
      </w:r>
    </w:p>
    <w:p w14:paraId="06B483CE">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8.1采购人、供应商应当对验收小组出具的验收意见进行确认，并形成政府采购履约验收书。对验收意见存在异议的，采购人与供应商双方可以协商解决，或通过法律途径解决。</w:t>
      </w:r>
    </w:p>
    <w:p w14:paraId="70FA3238">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8.2项目履约验收合格的，采购人应当根据政府采购合同约定及时向供应商支付采购资金、退还履约保证金，不得拖延、拖欠或非法扣留。</w:t>
      </w:r>
    </w:p>
    <w:p w14:paraId="05827A24">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8.3项目验收不合格的，采购人应当停止支付采购资金，并按照政府采购合同约定追究供应商违约责任。</w:t>
      </w:r>
    </w:p>
    <w:p w14:paraId="1001A7E3">
      <w:pPr>
        <w:widowControl/>
        <w:spacing w:line="440" w:lineRule="exact"/>
        <w:ind w:firstLine="425"/>
        <w:jc w:val="both"/>
        <w:rPr>
          <w:rFonts w:hAnsi="宋体"/>
          <w:color w:val="auto"/>
          <w:sz w:val="24"/>
          <w:szCs w:val="24"/>
          <w:highlight w:val="none"/>
        </w:rPr>
      </w:pPr>
      <w:r>
        <w:rPr>
          <w:rFonts w:hint="eastAsia" w:hAnsi="宋体"/>
          <w:color w:val="auto"/>
          <w:sz w:val="24"/>
          <w:szCs w:val="24"/>
          <w:highlight w:val="none"/>
        </w:rPr>
        <w:t>8.4涉及分期（分段）验收的项目，采购人应当开展阶段性验收，并出具阶段性验收意见，最后形成总验收意见。</w:t>
      </w:r>
    </w:p>
    <w:p w14:paraId="0D306B84">
      <w:pPr>
        <w:widowControl/>
        <w:spacing w:line="460" w:lineRule="exact"/>
        <w:rPr>
          <w:rFonts w:hAnsi="宋体"/>
          <w:b/>
          <w:color w:val="auto"/>
          <w:sz w:val="24"/>
          <w:szCs w:val="24"/>
          <w:highlight w:val="none"/>
        </w:rPr>
      </w:pPr>
      <w:r>
        <w:rPr>
          <w:rFonts w:hint="eastAsia" w:hAnsi="宋体"/>
          <w:b/>
          <w:color w:val="auto"/>
          <w:sz w:val="24"/>
          <w:szCs w:val="24"/>
          <w:highlight w:val="none"/>
        </w:rPr>
        <w:t>九、验收资料归档</w:t>
      </w:r>
    </w:p>
    <w:p w14:paraId="0D3A847C">
      <w:pPr>
        <w:widowControl/>
        <w:spacing w:line="440" w:lineRule="exact"/>
        <w:ind w:firstLine="425"/>
        <w:jc w:val="both"/>
        <w:rPr>
          <w:rFonts w:hAnsi="宋体"/>
          <w:b/>
          <w:color w:val="auto"/>
          <w:spacing w:val="9"/>
          <w:sz w:val="36"/>
          <w:szCs w:val="36"/>
          <w:highlight w:val="none"/>
        </w:rPr>
        <w:sectPr>
          <w:footerReference r:id="rId7" w:type="default"/>
          <w:pgSz w:w="11906" w:h="16838"/>
          <w:pgMar w:top="1361" w:right="1304" w:bottom="1304" w:left="1361" w:header="851" w:footer="992" w:gutter="0"/>
          <w:cols w:space="720" w:num="1"/>
          <w:docGrid w:linePitch="360" w:charSpace="0"/>
        </w:sectPr>
      </w:pPr>
      <w:r>
        <w:rPr>
          <w:rFonts w:hint="eastAsia" w:hAnsi="宋体"/>
          <w:color w:val="auto"/>
          <w:sz w:val="24"/>
          <w:szCs w:val="24"/>
          <w:highlight w:val="none"/>
        </w:rPr>
        <w:t>项目履约验收完结后，采购人应当将验收小组名单、验收方案、验收原始记录、验收结果等资料作为采购项目档案 妥善保管，不得伪造、编造、隐匿或者违规销毁。</w:t>
      </w:r>
    </w:p>
    <w:p w14:paraId="389A3B87">
      <w:pPr>
        <w:widowControl/>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Ansi="宋体"/>
          <w:b/>
          <w:color w:val="auto"/>
          <w:sz w:val="44"/>
          <w:highlight w:val="none"/>
        </w:rPr>
      </w:pPr>
      <w:r>
        <w:rPr>
          <w:rFonts w:hint="eastAsia" w:hAnsi="宋体"/>
          <w:b/>
          <w:color w:val="auto"/>
          <w:spacing w:val="9"/>
          <w:sz w:val="36"/>
          <w:szCs w:val="36"/>
          <w:highlight w:val="none"/>
        </w:rPr>
        <w:t>政府采购履约验收书(服务类）</w:t>
      </w:r>
    </w:p>
    <w:tbl>
      <w:tblPr>
        <w:tblStyle w:val="42"/>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202B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9249094">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3FED417E">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9F05319">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660CB76E">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5EC4D7B">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3DAD3C27">
            <w:pPr>
              <w:widowControl/>
              <w:spacing w:after="200" w:line="300" w:lineRule="exact"/>
              <w:jc w:val="center"/>
              <w:rPr>
                <w:rFonts w:hAnsi="宋体"/>
                <w:color w:val="auto"/>
                <w:sz w:val="18"/>
                <w:szCs w:val="18"/>
                <w:highlight w:val="none"/>
                <w:lang w:eastAsia="en-US"/>
              </w:rPr>
            </w:pPr>
          </w:p>
        </w:tc>
      </w:tr>
      <w:tr w14:paraId="22F4B8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D1A7F06">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474E41EC">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13B702BC">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10F6797B">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1FD2990">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363BC0A1">
            <w:pPr>
              <w:widowControl/>
              <w:spacing w:after="200" w:line="300" w:lineRule="exact"/>
              <w:jc w:val="center"/>
              <w:rPr>
                <w:rFonts w:hAnsi="宋体"/>
                <w:color w:val="auto"/>
                <w:sz w:val="18"/>
                <w:szCs w:val="18"/>
                <w:highlight w:val="none"/>
                <w:lang w:eastAsia="en-US"/>
              </w:rPr>
            </w:pPr>
          </w:p>
        </w:tc>
      </w:tr>
      <w:tr w14:paraId="34980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813B3F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68D212A">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78ECFAAC">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042CFBD5">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共分   期（段），此为第   期（段）验收</w:t>
            </w:r>
          </w:p>
        </w:tc>
      </w:tr>
      <w:tr w14:paraId="1D0F3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E4D83A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391ECE67">
            <w:pPr>
              <w:widowControl/>
              <w:spacing w:after="200" w:line="300" w:lineRule="exact"/>
              <w:jc w:val="center"/>
              <w:rPr>
                <w:rFonts w:hAnsi="宋体"/>
                <w:color w:val="auto"/>
                <w:sz w:val="18"/>
                <w:szCs w:val="18"/>
                <w:highlight w:val="none"/>
                <w:lang w:eastAsia="en-US"/>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F06E9B3">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356CB320">
            <w:pPr>
              <w:widowControl/>
              <w:spacing w:after="200" w:line="300" w:lineRule="exact"/>
              <w:jc w:val="center"/>
              <w:rPr>
                <w:rFonts w:hAnsi="宋体"/>
                <w:color w:val="auto"/>
                <w:sz w:val="18"/>
                <w:szCs w:val="18"/>
                <w:highlight w:val="none"/>
                <w:lang w:eastAsia="en-US"/>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8ED21AD">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41174489">
            <w:pPr>
              <w:widowControl/>
              <w:spacing w:after="200" w:line="300" w:lineRule="exact"/>
              <w:rPr>
                <w:rFonts w:hAnsi="宋体"/>
                <w:color w:val="auto"/>
                <w:sz w:val="18"/>
                <w:szCs w:val="18"/>
                <w:highlight w:val="none"/>
              </w:rPr>
            </w:pPr>
            <w:r>
              <w:rPr>
                <w:rFonts w:hint="eastAsia" w:hAnsi="宋体"/>
                <w:color w:val="auto"/>
                <w:sz w:val="18"/>
                <w:szCs w:val="18"/>
                <w:highlight w:val="none"/>
              </w:rPr>
              <w:t>□自行简易验收</w:t>
            </w:r>
          </w:p>
          <w:p w14:paraId="47047DF5">
            <w:pPr>
              <w:widowControl/>
              <w:spacing w:after="200" w:line="300" w:lineRule="exact"/>
              <w:rPr>
                <w:rFonts w:hAnsi="宋体"/>
                <w:color w:val="auto"/>
                <w:sz w:val="18"/>
                <w:szCs w:val="18"/>
                <w:highlight w:val="none"/>
              </w:rPr>
            </w:pPr>
            <w:r>
              <w:rPr>
                <w:rFonts w:hint="eastAsia" w:hAnsi="宋体"/>
                <w:color w:val="auto"/>
                <w:sz w:val="18"/>
                <w:szCs w:val="18"/>
                <w:highlight w:val="none"/>
              </w:rPr>
              <w:t>□验收小组验收</w:t>
            </w:r>
          </w:p>
          <w:p w14:paraId="0CA15FEC">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□采购代理机构验收</w:t>
            </w:r>
          </w:p>
        </w:tc>
      </w:tr>
      <w:tr w14:paraId="57C66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5F91B2B3">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7A144E96">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590FA824">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0CFEC063">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E5AD546">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1D387071">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6F871549">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合同履约时间、 地点、方式</w:t>
            </w:r>
          </w:p>
        </w:tc>
      </w:tr>
      <w:tr w14:paraId="6B14C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51761047">
            <w:pPr>
              <w:widowControl/>
              <w:spacing w:after="200" w:line="300" w:lineRule="exact"/>
              <w:jc w:val="center"/>
              <w:rPr>
                <w:rFonts w:hAnsi="宋体"/>
                <w:color w:val="auto"/>
                <w:sz w:val="18"/>
                <w:szCs w:val="18"/>
                <w:highlight w:val="none"/>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4D53EDAB">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2E38057E">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45892712">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按  时□ </w:t>
            </w:r>
          </w:p>
          <w:p w14:paraId="2F3FBB37">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7C40D9F8">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26E23872">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C79E053">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11EFC729">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6430BE94">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4808AD1D">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30CC4A7">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 xml:space="preserve">合  格□ </w:t>
            </w:r>
          </w:p>
          <w:p w14:paraId="659E2341">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不合格□</w:t>
            </w:r>
          </w:p>
        </w:tc>
      </w:tr>
      <w:tr w14:paraId="781A9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94DAA97">
            <w:pPr>
              <w:widowControl/>
              <w:spacing w:after="200" w:line="300" w:lineRule="exact"/>
              <w:jc w:val="center"/>
              <w:rPr>
                <w:rFonts w:hAnsi="宋体"/>
                <w:color w:val="auto"/>
                <w:sz w:val="18"/>
                <w:szCs w:val="18"/>
                <w:highlight w:val="none"/>
              </w:rPr>
            </w:pPr>
            <w:r>
              <w:rPr>
                <w:rFonts w:hint="eastAsia" w:hAnsi="宋体"/>
                <w:color w:val="auto"/>
                <w:sz w:val="18"/>
                <w:szCs w:val="18"/>
                <w:highlight w:val="none"/>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4972F9C">
            <w:pPr>
              <w:widowControl/>
              <w:spacing w:after="200" w:line="300" w:lineRule="exact"/>
              <w:jc w:val="center"/>
              <w:rPr>
                <w:rFonts w:hAnsi="宋体"/>
                <w:color w:val="auto"/>
                <w:sz w:val="18"/>
                <w:szCs w:val="18"/>
                <w:highlight w:val="none"/>
              </w:rPr>
            </w:pPr>
          </w:p>
        </w:tc>
      </w:tr>
      <w:tr w14:paraId="5C8B3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2C8C69A">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存在问题</w:t>
            </w:r>
          </w:p>
          <w:p w14:paraId="012DD681">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79DBE65">
            <w:pPr>
              <w:widowControl/>
              <w:spacing w:after="200" w:line="300" w:lineRule="exact"/>
              <w:jc w:val="center"/>
              <w:rPr>
                <w:rFonts w:hAnsi="宋体"/>
                <w:color w:val="auto"/>
                <w:sz w:val="18"/>
                <w:szCs w:val="18"/>
                <w:highlight w:val="none"/>
                <w:lang w:eastAsia="en-US"/>
              </w:rPr>
            </w:pPr>
          </w:p>
        </w:tc>
      </w:tr>
      <w:tr w14:paraId="4AACC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612A081">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6455F0C">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合  格□                              不合格□</w:t>
            </w:r>
          </w:p>
        </w:tc>
      </w:tr>
      <w:tr w14:paraId="3DF8E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9E2C677">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验收小组成员</w:t>
            </w:r>
          </w:p>
          <w:p w14:paraId="45125FA7">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BE7449C">
            <w:pPr>
              <w:widowControl/>
              <w:spacing w:after="200" w:line="300" w:lineRule="exact"/>
              <w:jc w:val="center"/>
              <w:rPr>
                <w:rFonts w:hAnsi="宋体"/>
                <w:color w:val="auto"/>
                <w:sz w:val="18"/>
                <w:szCs w:val="18"/>
                <w:highlight w:val="none"/>
                <w:lang w:eastAsia="en-US"/>
              </w:rPr>
            </w:pPr>
          </w:p>
        </w:tc>
      </w:tr>
      <w:tr w14:paraId="41AA0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C084EB1">
            <w:pPr>
              <w:widowControl/>
              <w:spacing w:after="200" w:line="300" w:lineRule="exact"/>
              <w:rPr>
                <w:rFonts w:hAnsi="宋体"/>
                <w:color w:val="auto"/>
                <w:sz w:val="18"/>
                <w:szCs w:val="18"/>
                <w:highlight w:val="none"/>
                <w:lang w:eastAsia="en-US"/>
              </w:rPr>
            </w:pPr>
            <w:r>
              <w:rPr>
                <w:rFonts w:hint="eastAsia" w:hAnsi="宋体"/>
                <w:color w:val="auto"/>
                <w:sz w:val="18"/>
                <w:szCs w:val="18"/>
                <w:highlight w:val="none"/>
                <w:lang w:eastAsia="en-US"/>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07809635">
            <w:pPr>
              <w:widowControl/>
              <w:spacing w:after="200" w:line="300" w:lineRule="exact"/>
              <w:jc w:val="center"/>
              <w:rPr>
                <w:rFonts w:hAnsi="宋体"/>
                <w:color w:val="auto"/>
                <w:sz w:val="18"/>
                <w:szCs w:val="18"/>
                <w:highlight w:val="none"/>
                <w:lang w:eastAsia="en-US"/>
              </w:rPr>
            </w:pPr>
            <w:r>
              <w:rPr>
                <w:rFonts w:hint="eastAsia" w:hAnsi="宋体"/>
                <w:color w:val="auto"/>
                <w:sz w:val="18"/>
                <w:szCs w:val="18"/>
                <w:highlight w:val="none"/>
                <w:lang w:eastAsia="en-US"/>
              </w:rPr>
              <w:t>采购人意见</w:t>
            </w:r>
          </w:p>
        </w:tc>
      </w:tr>
      <w:tr w14:paraId="2520FF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420FB972">
            <w:pPr>
              <w:widowControl/>
              <w:spacing w:after="200" w:line="300" w:lineRule="exact"/>
              <w:rPr>
                <w:rFonts w:hAnsi="宋体"/>
                <w:color w:val="auto"/>
                <w:sz w:val="18"/>
                <w:szCs w:val="18"/>
                <w:highlight w:val="none"/>
              </w:rPr>
            </w:pPr>
          </w:p>
          <w:p w14:paraId="22D96707">
            <w:pPr>
              <w:widowControl/>
              <w:spacing w:after="200" w:line="300" w:lineRule="exact"/>
              <w:rPr>
                <w:rFonts w:hAnsi="宋体"/>
                <w:color w:val="auto"/>
                <w:sz w:val="18"/>
                <w:szCs w:val="18"/>
                <w:highlight w:val="none"/>
              </w:rPr>
            </w:pPr>
            <w:r>
              <w:rPr>
                <w:rFonts w:hint="eastAsia" w:hAnsi="宋体"/>
                <w:color w:val="auto"/>
                <w:sz w:val="18"/>
                <w:szCs w:val="18"/>
                <w:highlight w:val="none"/>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24AF3C18">
            <w:pPr>
              <w:widowControl/>
              <w:spacing w:after="200" w:line="300" w:lineRule="exact"/>
              <w:rPr>
                <w:rFonts w:hAnsi="宋体"/>
                <w:color w:val="auto"/>
                <w:sz w:val="18"/>
                <w:szCs w:val="18"/>
                <w:highlight w:val="none"/>
              </w:rPr>
            </w:pPr>
          </w:p>
          <w:p w14:paraId="11E0BB1A">
            <w:pPr>
              <w:widowControl/>
              <w:spacing w:after="200" w:line="300" w:lineRule="exact"/>
              <w:rPr>
                <w:rFonts w:hAnsi="宋体"/>
                <w:color w:val="auto"/>
                <w:sz w:val="18"/>
                <w:szCs w:val="18"/>
                <w:highlight w:val="none"/>
              </w:rPr>
            </w:pPr>
            <w:r>
              <w:rPr>
                <w:rFonts w:hint="eastAsia" w:hAnsi="宋体"/>
                <w:color w:val="auto"/>
                <w:sz w:val="18"/>
                <w:szCs w:val="18"/>
                <w:highlight w:val="none"/>
              </w:rPr>
              <w:t>经办人：     负责人：    （采购人公章）</w:t>
            </w:r>
          </w:p>
        </w:tc>
      </w:tr>
      <w:tr w14:paraId="182BD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3FC6E1C9">
            <w:pPr>
              <w:widowControl/>
              <w:spacing w:after="200" w:line="300" w:lineRule="exact"/>
              <w:rPr>
                <w:rFonts w:hAnsi="宋体"/>
                <w:color w:val="auto"/>
                <w:sz w:val="18"/>
                <w:szCs w:val="18"/>
                <w:highlight w:val="none"/>
              </w:rPr>
            </w:pPr>
            <w:r>
              <w:rPr>
                <w:rFonts w:hint="eastAsia" w:hAnsi="宋体"/>
                <w:color w:val="auto"/>
                <w:sz w:val="18"/>
                <w:szCs w:val="18"/>
                <w:highlight w:val="none"/>
              </w:rPr>
              <w:t>供应商确认：</w:t>
            </w:r>
          </w:p>
          <w:p w14:paraId="2B41725E">
            <w:pPr>
              <w:widowControl/>
              <w:spacing w:after="200" w:line="300" w:lineRule="exact"/>
              <w:rPr>
                <w:rFonts w:hAnsi="宋体"/>
                <w:color w:val="auto"/>
                <w:sz w:val="18"/>
                <w:szCs w:val="18"/>
                <w:highlight w:val="none"/>
              </w:rPr>
            </w:pPr>
          </w:p>
          <w:p w14:paraId="30557A2B">
            <w:pPr>
              <w:widowControl/>
              <w:spacing w:after="200" w:line="300" w:lineRule="exact"/>
              <w:rPr>
                <w:rFonts w:hAnsi="宋体"/>
                <w:color w:val="auto"/>
                <w:sz w:val="18"/>
                <w:szCs w:val="18"/>
                <w:highlight w:val="none"/>
              </w:rPr>
            </w:pPr>
            <w:r>
              <w:rPr>
                <w:rFonts w:hint="eastAsia" w:hAnsi="宋体"/>
                <w:color w:val="auto"/>
                <w:sz w:val="18"/>
                <w:szCs w:val="18"/>
                <w:highlight w:val="none"/>
              </w:rPr>
              <w:t>（单位公章或授权代表签字）</w:t>
            </w:r>
          </w:p>
        </w:tc>
      </w:tr>
    </w:tbl>
    <w:p w14:paraId="4BEB9061">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hAnsi="宋体"/>
          <w:b/>
          <w:color w:val="auto"/>
          <w:sz w:val="44"/>
          <w:highlight w:val="none"/>
        </w:rPr>
      </w:pPr>
    </w:p>
    <w:p w14:paraId="7E09B1BC">
      <w:pPr>
        <w:widowControl/>
        <w:spacing w:after="200" w:line="276" w:lineRule="auto"/>
        <w:rPr>
          <w:rFonts w:hAnsi="宋体"/>
          <w:b/>
          <w:color w:val="auto"/>
          <w:sz w:val="44"/>
          <w:highlight w:val="none"/>
        </w:rPr>
      </w:pPr>
    </w:p>
    <w:tbl>
      <w:tblPr>
        <w:tblStyle w:val="42"/>
        <w:tblW w:w="4714" w:type="pct"/>
        <w:jc w:val="center"/>
        <w:tblLayout w:type="autofit"/>
        <w:tblCellMar>
          <w:top w:w="0" w:type="dxa"/>
          <w:left w:w="108" w:type="dxa"/>
          <w:bottom w:w="0" w:type="dxa"/>
          <w:right w:w="108" w:type="dxa"/>
        </w:tblCellMar>
      </w:tblPr>
      <w:tblGrid>
        <w:gridCol w:w="3798"/>
        <w:gridCol w:w="742"/>
        <w:gridCol w:w="2623"/>
        <w:gridCol w:w="1753"/>
      </w:tblGrid>
      <w:tr w14:paraId="407E1A82">
        <w:tblPrEx>
          <w:tblCellMar>
            <w:top w:w="0" w:type="dxa"/>
            <w:left w:w="108" w:type="dxa"/>
            <w:bottom w:w="0" w:type="dxa"/>
            <w:right w:w="108" w:type="dxa"/>
          </w:tblCellMar>
        </w:tblPrEx>
        <w:trPr>
          <w:trHeight w:val="1180" w:hRule="atLeast"/>
          <w:jc w:val="center"/>
        </w:trPr>
        <w:tc>
          <w:tcPr>
            <w:tcW w:w="5000" w:type="pct"/>
            <w:gridSpan w:val="4"/>
            <w:tcBorders>
              <w:top w:val="nil"/>
              <w:left w:val="nil"/>
              <w:bottom w:val="nil"/>
              <w:right w:val="nil"/>
            </w:tcBorders>
            <w:noWrap/>
            <w:vAlign w:val="center"/>
          </w:tcPr>
          <w:p w14:paraId="7C13CA73">
            <w:pPr>
              <w:widowControl/>
              <w:spacing w:after="200" w:line="276" w:lineRule="auto"/>
              <w:jc w:val="center"/>
              <w:textAlignment w:val="center"/>
              <w:rPr>
                <w:rFonts w:hAnsi="宋体"/>
                <w:color w:val="auto"/>
                <w:sz w:val="40"/>
                <w:szCs w:val="40"/>
                <w:highlight w:val="none"/>
              </w:rPr>
            </w:pPr>
            <w:r>
              <w:rPr>
                <w:rFonts w:hint="eastAsia" w:hAnsi="宋体"/>
                <w:color w:val="auto"/>
                <w:sz w:val="40"/>
                <w:szCs w:val="40"/>
                <w:highlight w:val="none"/>
              </w:rPr>
              <w:t>政府采购履约验收通知单</w:t>
            </w:r>
          </w:p>
        </w:tc>
      </w:tr>
      <w:tr w14:paraId="0050F535">
        <w:tblPrEx>
          <w:tblCellMar>
            <w:top w:w="0" w:type="dxa"/>
            <w:left w:w="108" w:type="dxa"/>
            <w:bottom w:w="0" w:type="dxa"/>
            <w:right w:w="108" w:type="dxa"/>
          </w:tblCellMar>
        </w:tblPrEx>
        <w:trPr>
          <w:trHeight w:val="600" w:hRule="atLeast"/>
          <w:jc w:val="center"/>
        </w:trPr>
        <w:tc>
          <w:tcPr>
            <w:tcW w:w="2130" w:type="pct"/>
            <w:tcBorders>
              <w:top w:val="nil"/>
              <w:left w:val="nil"/>
              <w:bottom w:val="nil"/>
              <w:right w:val="nil"/>
            </w:tcBorders>
            <w:noWrap/>
            <w:vAlign w:val="center"/>
          </w:tcPr>
          <w:p w14:paraId="605A83B9">
            <w:pPr>
              <w:widowControl/>
              <w:spacing w:after="200" w:line="276" w:lineRule="auto"/>
              <w:textAlignment w:val="center"/>
              <w:rPr>
                <w:rFonts w:hAnsi="宋体"/>
                <w:color w:val="auto"/>
                <w:sz w:val="24"/>
                <w:szCs w:val="24"/>
                <w:highlight w:val="none"/>
                <w:lang w:eastAsia="en-US"/>
              </w:rPr>
            </w:pPr>
            <w:r>
              <w:rPr>
                <w:rFonts w:hint="eastAsia" w:hAnsi="宋体"/>
                <w:color w:val="auto"/>
                <w:sz w:val="24"/>
                <w:szCs w:val="24"/>
                <w:highlight w:val="none"/>
              </w:rPr>
              <w:t>供应商：</w:t>
            </w:r>
          </w:p>
        </w:tc>
        <w:tc>
          <w:tcPr>
            <w:tcW w:w="416" w:type="pct"/>
            <w:tcBorders>
              <w:top w:val="nil"/>
              <w:left w:val="nil"/>
              <w:bottom w:val="nil"/>
              <w:right w:val="nil"/>
            </w:tcBorders>
            <w:noWrap/>
            <w:vAlign w:val="center"/>
          </w:tcPr>
          <w:p w14:paraId="62177706">
            <w:pPr>
              <w:widowControl/>
              <w:spacing w:after="200" w:line="276" w:lineRule="auto"/>
              <w:jc w:val="center"/>
              <w:rPr>
                <w:rFonts w:hAnsi="宋体"/>
                <w:color w:val="auto"/>
                <w:sz w:val="24"/>
                <w:szCs w:val="24"/>
                <w:highlight w:val="none"/>
                <w:lang w:eastAsia="en-US"/>
              </w:rPr>
            </w:pPr>
          </w:p>
        </w:tc>
        <w:tc>
          <w:tcPr>
            <w:tcW w:w="1471" w:type="pct"/>
            <w:tcBorders>
              <w:top w:val="nil"/>
              <w:left w:val="nil"/>
              <w:bottom w:val="nil"/>
              <w:right w:val="nil"/>
            </w:tcBorders>
            <w:noWrap/>
            <w:vAlign w:val="center"/>
          </w:tcPr>
          <w:p w14:paraId="78979AAE">
            <w:pPr>
              <w:widowControl/>
              <w:spacing w:after="200" w:line="276" w:lineRule="auto"/>
              <w:jc w:val="center"/>
              <w:rPr>
                <w:rFonts w:hAnsi="宋体"/>
                <w:color w:val="auto"/>
                <w:sz w:val="24"/>
                <w:szCs w:val="24"/>
                <w:highlight w:val="none"/>
                <w:lang w:eastAsia="en-US"/>
              </w:rPr>
            </w:pPr>
          </w:p>
        </w:tc>
        <w:tc>
          <w:tcPr>
            <w:tcW w:w="981" w:type="pct"/>
            <w:tcBorders>
              <w:top w:val="nil"/>
              <w:left w:val="nil"/>
              <w:bottom w:val="nil"/>
              <w:right w:val="nil"/>
            </w:tcBorders>
            <w:noWrap/>
            <w:vAlign w:val="center"/>
          </w:tcPr>
          <w:p w14:paraId="108F7F23">
            <w:pPr>
              <w:widowControl/>
              <w:spacing w:after="200" w:line="276" w:lineRule="auto"/>
              <w:jc w:val="center"/>
              <w:rPr>
                <w:rFonts w:hAnsi="宋体"/>
                <w:color w:val="auto"/>
                <w:sz w:val="24"/>
                <w:szCs w:val="24"/>
                <w:highlight w:val="none"/>
                <w:lang w:eastAsia="en-US"/>
              </w:rPr>
            </w:pPr>
          </w:p>
        </w:tc>
      </w:tr>
      <w:tr w14:paraId="688DB9B0">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9798BFA">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08D4C8BF">
            <w:pPr>
              <w:widowControl/>
              <w:spacing w:after="200" w:line="276" w:lineRule="auto"/>
              <w:jc w:val="center"/>
              <w:rPr>
                <w:rFonts w:hAnsi="宋体"/>
                <w:color w:val="auto"/>
                <w:sz w:val="24"/>
                <w:szCs w:val="24"/>
                <w:highlight w:val="none"/>
                <w:lang w:eastAsia="en-US"/>
              </w:rPr>
            </w:pPr>
          </w:p>
        </w:tc>
      </w:tr>
      <w:tr w14:paraId="172BC2C8">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33CA15D">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0B32169A">
            <w:pPr>
              <w:widowControl/>
              <w:spacing w:after="200" w:line="276" w:lineRule="auto"/>
              <w:jc w:val="center"/>
              <w:rPr>
                <w:rFonts w:hAnsi="宋体"/>
                <w:color w:val="auto"/>
                <w:sz w:val="24"/>
                <w:szCs w:val="24"/>
                <w:highlight w:val="none"/>
                <w:lang w:eastAsia="en-US"/>
              </w:rPr>
            </w:pPr>
          </w:p>
        </w:tc>
      </w:tr>
      <w:tr w14:paraId="19CE039B">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6A836D3">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36D4F664">
            <w:pPr>
              <w:widowControl/>
              <w:spacing w:after="200" w:line="276" w:lineRule="auto"/>
              <w:jc w:val="center"/>
              <w:rPr>
                <w:rFonts w:hAnsi="宋体"/>
                <w:color w:val="auto"/>
                <w:sz w:val="24"/>
                <w:szCs w:val="24"/>
                <w:highlight w:val="none"/>
                <w:lang w:eastAsia="en-US"/>
              </w:rPr>
            </w:pPr>
          </w:p>
        </w:tc>
      </w:tr>
      <w:tr w14:paraId="7FD2548A">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A10E125">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034B52DB">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19AF6318">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05BD3A9D">
            <w:pPr>
              <w:widowControl/>
              <w:spacing w:after="200" w:line="276" w:lineRule="auto"/>
              <w:jc w:val="center"/>
              <w:rPr>
                <w:rFonts w:hAnsi="宋体"/>
                <w:color w:val="auto"/>
                <w:sz w:val="24"/>
                <w:szCs w:val="24"/>
                <w:highlight w:val="none"/>
                <w:lang w:eastAsia="en-US"/>
              </w:rPr>
            </w:pPr>
          </w:p>
        </w:tc>
      </w:tr>
      <w:tr w14:paraId="39E6398D">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1970E8D">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00357D4">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78A689D">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08C84D33">
            <w:pPr>
              <w:widowControl/>
              <w:spacing w:after="200" w:line="276" w:lineRule="auto"/>
              <w:jc w:val="center"/>
              <w:rPr>
                <w:rFonts w:hAnsi="宋体"/>
                <w:color w:val="auto"/>
                <w:sz w:val="24"/>
                <w:szCs w:val="24"/>
                <w:highlight w:val="none"/>
                <w:lang w:eastAsia="en-US"/>
              </w:rPr>
            </w:pPr>
          </w:p>
        </w:tc>
      </w:tr>
      <w:tr w14:paraId="3621F9ED">
        <w:tblPrEx>
          <w:tblCellMar>
            <w:top w:w="0" w:type="dxa"/>
            <w:left w:w="108" w:type="dxa"/>
            <w:bottom w:w="0" w:type="dxa"/>
            <w:right w:w="108" w:type="dxa"/>
          </w:tblCellMar>
        </w:tblPrEx>
        <w:trPr>
          <w:trHeight w:val="600" w:hRule="atLeast"/>
          <w:jc w:val="center"/>
        </w:trPr>
        <w:tc>
          <w:tcPr>
            <w:tcW w:w="2130" w:type="pct"/>
            <w:tcBorders>
              <w:top w:val="single" w:color="000000" w:sz="4" w:space="0"/>
              <w:left w:val="single" w:color="000000" w:sz="4" w:space="0"/>
              <w:bottom w:val="single" w:color="000000" w:sz="4" w:space="0"/>
              <w:right w:val="single" w:color="000000" w:sz="4" w:space="0"/>
            </w:tcBorders>
            <w:noWrap/>
            <w:vAlign w:val="center"/>
          </w:tcPr>
          <w:p w14:paraId="5D5BBDFF">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6DD7E3C3">
            <w:pPr>
              <w:widowControl/>
              <w:spacing w:after="200" w:line="276" w:lineRule="auto"/>
              <w:jc w:val="center"/>
              <w:rPr>
                <w:rFonts w:hAnsi="宋体"/>
                <w:color w:val="auto"/>
                <w:sz w:val="24"/>
                <w:szCs w:val="24"/>
                <w:highlight w:val="none"/>
                <w:lang w:eastAsia="en-US"/>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8BAC339">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7AD23F31">
            <w:pPr>
              <w:widowControl/>
              <w:spacing w:after="200" w:line="276" w:lineRule="auto"/>
              <w:jc w:val="center"/>
              <w:rPr>
                <w:rFonts w:hAnsi="宋体"/>
                <w:color w:val="auto"/>
                <w:sz w:val="24"/>
                <w:szCs w:val="24"/>
                <w:highlight w:val="none"/>
                <w:lang w:eastAsia="en-US"/>
              </w:rPr>
            </w:pPr>
          </w:p>
        </w:tc>
      </w:tr>
      <w:tr w14:paraId="233A4806">
        <w:tblPrEx>
          <w:tblCellMar>
            <w:top w:w="0" w:type="dxa"/>
            <w:left w:w="108" w:type="dxa"/>
            <w:bottom w:w="0" w:type="dxa"/>
            <w:right w:w="108" w:type="dxa"/>
          </w:tblCellMar>
        </w:tblPrEx>
        <w:trPr>
          <w:trHeight w:val="600"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746EA1C7">
            <w:pPr>
              <w:widowControl/>
              <w:spacing w:after="200" w:line="276" w:lineRule="auto"/>
              <w:jc w:val="center"/>
              <w:textAlignment w:val="center"/>
              <w:rPr>
                <w:rFonts w:hAnsi="宋体"/>
                <w:color w:val="auto"/>
                <w:sz w:val="24"/>
                <w:szCs w:val="24"/>
                <w:highlight w:val="none"/>
              </w:rPr>
            </w:pPr>
            <w:r>
              <w:rPr>
                <w:rFonts w:hint="eastAsia" w:hAnsi="宋体"/>
                <w:color w:val="auto"/>
                <w:sz w:val="24"/>
                <w:szCs w:val="24"/>
                <w:highlight w:val="none"/>
              </w:rPr>
              <w:t>履约验收方案及工作要求</w:t>
            </w:r>
          </w:p>
        </w:tc>
      </w:tr>
      <w:tr w14:paraId="61890EE0">
        <w:tblPrEx>
          <w:tblCellMar>
            <w:top w:w="0" w:type="dxa"/>
            <w:left w:w="108" w:type="dxa"/>
            <w:bottom w:w="0" w:type="dxa"/>
            <w:right w:w="108" w:type="dxa"/>
          </w:tblCellMar>
        </w:tblPrEx>
        <w:trPr>
          <w:trHeight w:val="614" w:hRule="atLeast"/>
          <w:jc w:val="center"/>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297A9DFB">
            <w:pPr>
              <w:widowControl/>
              <w:spacing w:after="200" w:line="276" w:lineRule="auto"/>
              <w:jc w:val="center"/>
              <w:textAlignment w:val="center"/>
              <w:rPr>
                <w:rFonts w:hAnsi="宋体"/>
                <w:color w:val="auto"/>
                <w:sz w:val="24"/>
                <w:szCs w:val="24"/>
                <w:highlight w:val="none"/>
              </w:rPr>
            </w:pPr>
          </w:p>
          <w:p w14:paraId="6C73F4DC">
            <w:pPr>
              <w:widowControl/>
              <w:spacing w:after="200" w:line="276" w:lineRule="auto"/>
              <w:jc w:val="center"/>
              <w:textAlignment w:val="center"/>
              <w:rPr>
                <w:rFonts w:hAnsi="宋体"/>
                <w:color w:val="auto"/>
                <w:sz w:val="24"/>
                <w:szCs w:val="24"/>
                <w:highlight w:val="none"/>
              </w:rPr>
            </w:pPr>
          </w:p>
          <w:p w14:paraId="5494B8A4">
            <w:pPr>
              <w:widowControl/>
              <w:spacing w:after="200" w:line="276" w:lineRule="auto"/>
              <w:jc w:val="center"/>
              <w:textAlignment w:val="center"/>
              <w:rPr>
                <w:rFonts w:hAnsi="宋体"/>
                <w:color w:val="auto"/>
                <w:sz w:val="24"/>
                <w:szCs w:val="24"/>
                <w:highlight w:val="none"/>
              </w:rPr>
            </w:pPr>
          </w:p>
          <w:p w14:paraId="05B6D77F">
            <w:pPr>
              <w:widowControl/>
              <w:spacing w:after="200" w:line="276" w:lineRule="auto"/>
              <w:jc w:val="center"/>
              <w:textAlignment w:val="center"/>
              <w:rPr>
                <w:rFonts w:hAnsi="宋体"/>
                <w:color w:val="auto"/>
                <w:sz w:val="24"/>
                <w:szCs w:val="24"/>
                <w:highlight w:val="none"/>
                <w:lang w:eastAsia="en-US"/>
              </w:rPr>
            </w:pPr>
            <w:r>
              <w:rPr>
                <w:rFonts w:hint="eastAsia" w:hAnsi="宋体"/>
                <w:color w:val="auto"/>
                <w:sz w:val="24"/>
                <w:szCs w:val="24"/>
                <w:highlight w:val="none"/>
              </w:rPr>
              <w:t xml:space="preserve">         单位公章</w:t>
            </w:r>
            <w:r>
              <w:rPr>
                <w:rFonts w:hint="eastAsia" w:hAnsi="宋体"/>
                <w:color w:val="auto"/>
                <w:sz w:val="24"/>
                <w:szCs w:val="24"/>
                <w:highlight w:val="none"/>
              </w:rPr>
              <w:br w:type="textWrapping"/>
            </w:r>
            <w:r>
              <w:rPr>
                <w:rFonts w:hint="eastAsia" w:hAnsi="宋体"/>
                <w:color w:val="auto"/>
                <w:sz w:val="24"/>
                <w:szCs w:val="24"/>
                <w:highlight w:val="none"/>
              </w:rPr>
              <w:t xml:space="preserve">         年 月 日</w:t>
            </w:r>
          </w:p>
        </w:tc>
      </w:tr>
      <w:tr w14:paraId="6D3EF59A">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D4B7C6E">
            <w:pPr>
              <w:widowControl/>
              <w:spacing w:after="200" w:line="276" w:lineRule="auto"/>
              <w:jc w:val="center"/>
              <w:rPr>
                <w:rFonts w:hAnsi="宋体"/>
                <w:color w:val="auto"/>
                <w:sz w:val="24"/>
                <w:szCs w:val="24"/>
                <w:highlight w:val="none"/>
                <w:lang w:eastAsia="en-US"/>
              </w:rPr>
            </w:pPr>
          </w:p>
        </w:tc>
      </w:tr>
      <w:tr w14:paraId="0C6FAE7A">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D0FD94D">
            <w:pPr>
              <w:widowControl/>
              <w:spacing w:after="200" w:line="276" w:lineRule="auto"/>
              <w:jc w:val="center"/>
              <w:rPr>
                <w:rFonts w:hAnsi="宋体"/>
                <w:color w:val="auto"/>
                <w:sz w:val="24"/>
                <w:szCs w:val="24"/>
                <w:highlight w:val="none"/>
                <w:lang w:eastAsia="en-US"/>
              </w:rPr>
            </w:pPr>
          </w:p>
        </w:tc>
      </w:tr>
      <w:tr w14:paraId="07632DE2">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00BE1B">
            <w:pPr>
              <w:widowControl/>
              <w:spacing w:after="200" w:line="276" w:lineRule="auto"/>
              <w:jc w:val="center"/>
              <w:rPr>
                <w:rFonts w:hAnsi="宋体"/>
                <w:color w:val="auto"/>
                <w:sz w:val="24"/>
                <w:szCs w:val="24"/>
                <w:highlight w:val="none"/>
                <w:lang w:eastAsia="en-US"/>
              </w:rPr>
            </w:pPr>
          </w:p>
        </w:tc>
      </w:tr>
      <w:tr w14:paraId="645CF43F">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19A1DF">
            <w:pPr>
              <w:widowControl/>
              <w:spacing w:after="200" w:line="276" w:lineRule="auto"/>
              <w:jc w:val="center"/>
              <w:rPr>
                <w:rFonts w:hAnsi="宋体"/>
                <w:color w:val="auto"/>
                <w:sz w:val="24"/>
                <w:szCs w:val="24"/>
                <w:highlight w:val="none"/>
                <w:lang w:eastAsia="en-US"/>
              </w:rPr>
            </w:pPr>
          </w:p>
        </w:tc>
      </w:tr>
      <w:tr w14:paraId="3C9592F4">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937B3D6">
            <w:pPr>
              <w:widowControl/>
              <w:spacing w:after="200" w:line="276" w:lineRule="auto"/>
              <w:jc w:val="center"/>
              <w:rPr>
                <w:rFonts w:hAnsi="宋体"/>
                <w:color w:val="auto"/>
                <w:sz w:val="24"/>
                <w:szCs w:val="24"/>
                <w:highlight w:val="none"/>
                <w:lang w:eastAsia="en-US"/>
              </w:rPr>
            </w:pPr>
          </w:p>
        </w:tc>
      </w:tr>
      <w:tr w14:paraId="038B5463">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50C77FC">
            <w:pPr>
              <w:widowControl/>
              <w:spacing w:after="200" w:line="276" w:lineRule="auto"/>
              <w:jc w:val="center"/>
              <w:rPr>
                <w:rFonts w:hAnsi="宋体"/>
                <w:color w:val="auto"/>
                <w:sz w:val="24"/>
                <w:szCs w:val="24"/>
                <w:highlight w:val="none"/>
                <w:lang w:eastAsia="en-US"/>
              </w:rPr>
            </w:pPr>
          </w:p>
        </w:tc>
      </w:tr>
      <w:tr w14:paraId="356DD007">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B61905E">
            <w:pPr>
              <w:widowControl/>
              <w:spacing w:after="200" w:line="276" w:lineRule="auto"/>
              <w:jc w:val="center"/>
              <w:rPr>
                <w:rFonts w:hAnsi="宋体"/>
                <w:color w:val="auto"/>
                <w:sz w:val="24"/>
                <w:szCs w:val="24"/>
                <w:highlight w:val="none"/>
                <w:lang w:eastAsia="en-US"/>
              </w:rPr>
            </w:pPr>
          </w:p>
        </w:tc>
      </w:tr>
      <w:tr w14:paraId="6079A711">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7DF3D28">
            <w:pPr>
              <w:widowControl/>
              <w:spacing w:after="200" w:line="276" w:lineRule="auto"/>
              <w:jc w:val="center"/>
              <w:rPr>
                <w:rFonts w:hAnsi="宋体"/>
                <w:color w:val="auto"/>
                <w:sz w:val="24"/>
                <w:szCs w:val="24"/>
                <w:highlight w:val="none"/>
                <w:lang w:eastAsia="en-US"/>
              </w:rPr>
            </w:pPr>
          </w:p>
        </w:tc>
      </w:tr>
      <w:tr w14:paraId="287A2B64">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35BCED1">
            <w:pPr>
              <w:widowControl/>
              <w:spacing w:after="200" w:line="276" w:lineRule="auto"/>
              <w:jc w:val="center"/>
              <w:rPr>
                <w:rFonts w:hAnsi="宋体"/>
                <w:color w:val="auto"/>
                <w:sz w:val="24"/>
                <w:szCs w:val="24"/>
                <w:highlight w:val="none"/>
                <w:lang w:eastAsia="en-US"/>
              </w:rPr>
            </w:pPr>
          </w:p>
        </w:tc>
      </w:tr>
      <w:tr w14:paraId="3624AF43">
        <w:tblPrEx>
          <w:tblCellMar>
            <w:top w:w="0" w:type="dxa"/>
            <w:left w:w="108" w:type="dxa"/>
            <w:bottom w:w="0" w:type="dxa"/>
            <w:right w:w="108" w:type="dxa"/>
          </w:tblCellMar>
        </w:tblPrEx>
        <w:trPr>
          <w:trHeight w:val="614" w:hRule="atLeast"/>
          <w:jc w:val="center"/>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C6710BF">
            <w:pPr>
              <w:widowControl/>
              <w:spacing w:after="200" w:line="276" w:lineRule="auto"/>
              <w:jc w:val="center"/>
              <w:rPr>
                <w:rFonts w:hAnsi="宋体"/>
                <w:color w:val="auto"/>
                <w:sz w:val="24"/>
                <w:szCs w:val="24"/>
                <w:highlight w:val="none"/>
                <w:lang w:eastAsia="en-US"/>
              </w:rPr>
            </w:pPr>
          </w:p>
        </w:tc>
      </w:tr>
    </w:tbl>
    <w:p w14:paraId="32C3747A">
      <w:pPr>
        <w:spacing w:line="360" w:lineRule="auto"/>
        <w:ind w:firstLine="480"/>
        <w:rPr>
          <w:rFonts w:hAnsi="宋体"/>
          <w:color w:val="auto"/>
          <w:sz w:val="24"/>
          <w:szCs w:val="24"/>
          <w:highlight w:val="none"/>
        </w:rPr>
        <w:sectPr>
          <w:pgSz w:w="11906" w:h="16838"/>
          <w:pgMar w:top="1361" w:right="1304" w:bottom="1304" w:left="1361" w:header="851" w:footer="992" w:gutter="0"/>
          <w:cols w:space="720" w:num="1"/>
          <w:docGrid w:linePitch="360" w:charSpace="0"/>
        </w:sectPr>
      </w:pPr>
    </w:p>
    <w:bookmarkEnd w:id="13"/>
    <w:p w14:paraId="53000189">
      <w:pPr>
        <w:jc w:val="center"/>
        <w:outlineLvl w:val="0"/>
        <w:rPr>
          <w:rFonts w:hAnsi="宋体"/>
          <w:b/>
          <w:bCs/>
          <w:color w:val="auto"/>
          <w:sz w:val="32"/>
          <w:szCs w:val="32"/>
          <w:highlight w:val="none"/>
        </w:rPr>
      </w:pPr>
      <w:bookmarkStart w:id="22" w:name="_Toc159507038"/>
      <w:r>
        <w:rPr>
          <w:rFonts w:hint="eastAsia" w:hAnsi="宋体"/>
          <w:b/>
          <w:bCs/>
          <w:color w:val="auto"/>
          <w:sz w:val="32"/>
          <w:szCs w:val="32"/>
          <w:highlight w:val="none"/>
        </w:rPr>
        <w:t>第四章 评分办法及评标标准</w:t>
      </w:r>
      <w:bookmarkEnd w:id="22"/>
    </w:p>
    <w:p w14:paraId="6D895577">
      <w:pPr>
        <w:spacing w:line="360" w:lineRule="auto"/>
        <w:ind w:firstLine="482"/>
        <w:rPr>
          <w:rFonts w:hAnsi="宋体"/>
          <w:b/>
          <w:color w:val="auto"/>
          <w:sz w:val="24"/>
          <w:szCs w:val="24"/>
          <w:highlight w:val="none"/>
        </w:rPr>
      </w:pPr>
      <w:r>
        <w:rPr>
          <w:rFonts w:hint="eastAsia" w:hAnsi="宋体"/>
          <w:b/>
          <w:color w:val="auto"/>
          <w:sz w:val="24"/>
          <w:szCs w:val="24"/>
          <w:highlight w:val="none"/>
        </w:rPr>
        <w:t>一、评标方法</w:t>
      </w:r>
    </w:p>
    <w:p w14:paraId="67D9AD2E">
      <w:pPr>
        <w:spacing w:line="360" w:lineRule="auto"/>
        <w:ind w:firstLine="480"/>
        <w:rPr>
          <w:rFonts w:hAnsi="宋体"/>
          <w:bCs/>
          <w:color w:val="auto"/>
          <w:sz w:val="24"/>
          <w:szCs w:val="24"/>
          <w:highlight w:val="none"/>
        </w:rPr>
      </w:pPr>
      <w:r>
        <w:rPr>
          <w:rFonts w:hint="eastAsia" w:hAnsi="宋体"/>
          <w:bCs/>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0132AF50">
      <w:pPr>
        <w:spacing w:line="360" w:lineRule="auto"/>
        <w:ind w:firstLine="480"/>
        <w:rPr>
          <w:rFonts w:hAnsi="宋体"/>
          <w:bCs/>
          <w:color w:val="auto"/>
          <w:sz w:val="24"/>
          <w:szCs w:val="24"/>
          <w:highlight w:val="none"/>
        </w:rPr>
      </w:pPr>
      <w:r>
        <w:rPr>
          <w:rFonts w:hint="eastAsia" w:hAnsi="宋体"/>
          <w:bCs/>
          <w:color w:val="auto"/>
          <w:sz w:val="24"/>
          <w:szCs w:val="24"/>
          <w:highlight w:val="none"/>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59C402F9">
      <w:pPr>
        <w:spacing w:line="360" w:lineRule="auto"/>
        <w:ind w:firstLine="482"/>
        <w:rPr>
          <w:rFonts w:hAnsi="宋体"/>
          <w:color w:val="auto"/>
          <w:sz w:val="24"/>
          <w:szCs w:val="24"/>
          <w:highlight w:val="none"/>
        </w:rPr>
      </w:pPr>
      <w:r>
        <w:rPr>
          <w:rFonts w:hAnsi="宋体"/>
          <w:b/>
          <w:color w:val="auto"/>
          <w:sz w:val="24"/>
          <w:szCs w:val="24"/>
          <w:highlight w:val="none"/>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4F0CA422">
      <w:pPr>
        <w:spacing w:line="360" w:lineRule="auto"/>
        <w:ind w:firstLine="480"/>
        <w:rPr>
          <w:rFonts w:hAnsi="宋体"/>
          <w:bCs/>
          <w:color w:val="auto"/>
          <w:sz w:val="24"/>
          <w:szCs w:val="24"/>
          <w:highlight w:val="none"/>
        </w:rPr>
      </w:pPr>
      <w:r>
        <w:rPr>
          <w:rFonts w:hint="eastAsia" w:hAnsi="宋体"/>
          <w:bCs/>
          <w:color w:val="auto"/>
          <w:sz w:val="24"/>
          <w:szCs w:val="24"/>
          <w:highlight w:val="none"/>
        </w:rPr>
        <w:t>4、如出现评标总得分最高的投标人有两个或两个以上的，以投标报价较低者优先作为中标候选人，如果投标报价也相同的，则由评标委员会组织以抽签方式确定中标候选人。</w:t>
      </w:r>
    </w:p>
    <w:p w14:paraId="2314A71F">
      <w:pPr>
        <w:spacing w:line="360" w:lineRule="auto"/>
        <w:ind w:firstLine="420"/>
        <w:rPr>
          <w:rFonts w:hAnsi="宋体"/>
          <w:b/>
          <w:color w:val="auto"/>
          <w:sz w:val="24"/>
          <w:szCs w:val="24"/>
          <w:highlight w:val="none"/>
        </w:rPr>
      </w:pPr>
      <w:r>
        <w:rPr>
          <w:rFonts w:hAnsi="宋体"/>
          <w:b/>
          <w:bCs/>
          <w:color w:val="auto"/>
          <w:sz w:val="24"/>
          <w:szCs w:val="24"/>
          <w:highlight w:val="none"/>
        </w:rPr>
        <w:t>5</w:t>
      </w:r>
      <w:r>
        <w:rPr>
          <w:rFonts w:hint="eastAsia" w:hAnsi="宋体"/>
          <w:b/>
          <w:bCs/>
          <w:color w:val="auto"/>
          <w:sz w:val="24"/>
          <w:szCs w:val="24"/>
          <w:highlight w:val="none"/>
        </w:rPr>
        <w:t>、</w:t>
      </w:r>
      <w:r>
        <w:rPr>
          <w:rFonts w:hint="eastAsia" w:hAnsi="宋体"/>
          <w:b/>
          <w:color w:val="auto"/>
          <w:sz w:val="24"/>
          <w:szCs w:val="24"/>
          <w:highlight w:val="none"/>
        </w:rPr>
        <w:t>政府采购政策的价格扣除</w:t>
      </w:r>
    </w:p>
    <w:p w14:paraId="61BBF88A">
      <w:pPr>
        <w:spacing w:line="360" w:lineRule="auto"/>
        <w:ind w:firstLine="420"/>
        <w:rPr>
          <w:rFonts w:hAnsi="宋体"/>
          <w:color w:val="auto"/>
          <w:sz w:val="24"/>
          <w:szCs w:val="24"/>
          <w:highlight w:val="none"/>
        </w:rPr>
      </w:pPr>
      <w:r>
        <w:rPr>
          <w:rFonts w:hint="eastAsia" w:hAnsi="宋体"/>
          <w:color w:val="auto"/>
          <w:sz w:val="24"/>
          <w:szCs w:val="24"/>
          <w:highlight w:val="none"/>
        </w:rPr>
        <w:sym w:font="Wingdings 2" w:char="F0A3"/>
      </w:r>
      <w:r>
        <w:rPr>
          <w:rFonts w:hint="eastAsia" w:hAnsi="宋体"/>
          <w:color w:val="auto"/>
          <w:sz w:val="24"/>
          <w:szCs w:val="24"/>
          <w:highlight w:val="none"/>
        </w:rPr>
        <w:t>本项目专门面向中小企业采购的项目，不再执行价格评审优惠的扶持政策。</w:t>
      </w:r>
    </w:p>
    <w:p w14:paraId="4891389D">
      <w:pPr>
        <w:spacing w:line="360" w:lineRule="auto"/>
        <w:ind w:firstLine="420"/>
        <w:rPr>
          <w:rFonts w:hAnsi="宋体"/>
          <w:color w:val="auto"/>
          <w:sz w:val="24"/>
          <w:szCs w:val="24"/>
          <w:highlight w:val="none"/>
        </w:rPr>
      </w:pPr>
      <w:r>
        <w:rPr>
          <w:rFonts w:hint="eastAsia" w:hAnsi="宋体"/>
          <w:b/>
          <w:color w:val="auto"/>
          <w:sz w:val="24"/>
          <w:szCs w:val="24"/>
          <w:highlight w:val="none"/>
        </w:rPr>
        <w:sym w:font="Wingdings 2" w:char="F052"/>
      </w:r>
      <w:r>
        <w:rPr>
          <w:rFonts w:hint="eastAsia" w:hAnsi="宋体"/>
          <w:color w:val="auto"/>
          <w:sz w:val="24"/>
          <w:szCs w:val="24"/>
          <w:highlight w:val="none"/>
        </w:rPr>
        <w:t>未预留份额专门面向中小企业采购的采购项目，以及预留份额项目中的非预留部分采购包，对符合规定的小微企业（监狱企业、残疾人福利性单位）报价按照下表中的规定扣除，用扣除后的价格参加评审。</w:t>
      </w:r>
    </w:p>
    <w:tbl>
      <w:tblPr>
        <w:tblStyle w:val="43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9"/>
        <w:gridCol w:w="1554"/>
        <w:gridCol w:w="1134"/>
        <w:gridCol w:w="1510"/>
        <w:gridCol w:w="4677"/>
      </w:tblGrid>
      <w:tr w14:paraId="43CD5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759" w:type="dxa"/>
            <w:shd w:val="clear" w:color="auto" w:fill="E7E6E6"/>
            <w:vAlign w:val="center"/>
          </w:tcPr>
          <w:p w14:paraId="14B42290">
            <w:pPr>
              <w:autoSpaceDE w:val="0"/>
              <w:autoSpaceDN w:val="0"/>
              <w:spacing w:line="360" w:lineRule="auto"/>
              <w:ind w:left="-3" w:right="67" w:firstLine="3"/>
              <w:jc w:val="center"/>
              <w:rPr>
                <w:rFonts w:hAnsi="宋体"/>
                <w:color w:val="auto"/>
                <w:sz w:val="24"/>
                <w:highlight w:val="none"/>
                <w:lang w:eastAsia="en-US"/>
              </w:rPr>
            </w:pPr>
            <w:r>
              <w:rPr>
                <w:rFonts w:hAnsi="宋体"/>
                <w:color w:val="auto"/>
                <w:spacing w:val="-6"/>
                <w:sz w:val="24"/>
                <w:highlight w:val="none"/>
                <w:lang w:eastAsia="en-US"/>
              </w:rPr>
              <w:t>序号</w:t>
            </w:r>
          </w:p>
        </w:tc>
        <w:tc>
          <w:tcPr>
            <w:tcW w:w="1554" w:type="dxa"/>
            <w:shd w:val="clear" w:color="auto" w:fill="E7E6E6"/>
            <w:vAlign w:val="center"/>
          </w:tcPr>
          <w:p w14:paraId="32045C5E">
            <w:pPr>
              <w:autoSpaceDE w:val="0"/>
              <w:autoSpaceDN w:val="0"/>
              <w:spacing w:line="360" w:lineRule="auto"/>
              <w:ind w:left="-3" w:right="67" w:firstLine="3"/>
              <w:jc w:val="center"/>
              <w:rPr>
                <w:rFonts w:hAnsi="宋体"/>
                <w:color w:val="auto"/>
                <w:sz w:val="24"/>
                <w:highlight w:val="none"/>
                <w:lang w:eastAsia="en-US"/>
              </w:rPr>
            </w:pPr>
            <w:r>
              <w:rPr>
                <w:rFonts w:hAnsi="宋体"/>
                <w:color w:val="auto"/>
                <w:spacing w:val="-4"/>
                <w:sz w:val="24"/>
                <w:highlight w:val="none"/>
                <w:lang w:eastAsia="en-US"/>
              </w:rPr>
              <w:t>情形</w:t>
            </w:r>
          </w:p>
        </w:tc>
        <w:tc>
          <w:tcPr>
            <w:tcW w:w="1134" w:type="dxa"/>
            <w:shd w:val="clear" w:color="auto" w:fill="E7E6E6"/>
            <w:vAlign w:val="center"/>
          </w:tcPr>
          <w:p w14:paraId="1D21E407">
            <w:pPr>
              <w:autoSpaceDE w:val="0"/>
              <w:autoSpaceDN w:val="0"/>
              <w:spacing w:line="360" w:lineRule="auto"/>
              <w:ind w:left="-3" w:right="67" w:firstLine="3"/>
              <w:jc w:val="center"/>
              <w:rPr>
                <w:rFonts w:hAnsi="宋体"/>
                <w:color w:val="auto"/>
                <w:sz w:val="24"/>
                <w:highlight w:val="none"/>
                <w:lang w:eastAsia="en-US"/>
              </w:rPr>
            </w:pPr>
            <w:r>
              <w:rPr>
                <w:rFonts w:hAnsi="宋体"/>
                <w:color w:val="auto"/>
                <w:spacing w:val="-4"/>
                <w:sz w:val="24"/>
                <w:highlight w:val="none"/>
                <w:lang w:eastAsia="en-US"/>
              </w:rPr>
              <w:t>适用对象</w:t>
            </w:r>
          </w:p>
        </w:tc>
        <w:tc>
          <w:tcPr>
            <w:tcW w:w="1510" w:type="dxa"/>
            <w:shd w:val="clear" w:color="auto" w:fill="E7E6E6"/>
            <w:vAlign w:val="center"/>
          </w:tcPr>
          <w:p w14:paraId="795E620F">
            <w:pPr>
              <w:autoSpaceDE w:val="0"/>
              <w:autoSpaceDN w:val="0"/>
              <w:spacing w:line="360" w:lineRule="auto"/>
              <w:ind w:left="-3" w:right="67" w:firstLine="3"/>
              <w:jc w:val="center"/>
              <w:rPr>
                <w:rFonts w:hAnsi="宋体"/>
                <w:color w:val="auto"/>
                <w:sz w:val="24"/>
                <w:highlight w:val="none"/>
                <w:lang w:eastAsia="en-US"/>
              </w:rPr>
            </w:pPr>
            <w:r>
              <w:rPr>
                <w:rFonts w:hAnsi="宋体"/>
                <w:color w:val="auto"/>
                <w:spacing w:val="-4"/>
                <w:sz w:val="24"/>
                <w:highlight w:val="none"/>
                <w:lang w:eastAsia="en-US"/>
              </w:rPr>
              <w:t>价格扣除</w:t>
            </w:r>
            <w:r>
              <w:rPr>
                <w:rFonts w:hAnsi="宋体"/>
                <w:color w:val="auto"/>
                <w:spacing w:val="-6"/>
                <w:sz w:val="24"/>
                <w:highlight w:val="none"/>
                <w:lang w:eastAsia="en-US"/>
              </w:rPr>
              <w:t>比例</w:t>
            </w:r>
            <w:r>
              <w:rPr>
                <w:rFonts w:hint="eastAsia" w:hAnsi="宋体"/>
                <w:color w:val="auto"/>
                <w:spacing w:val="-6"/>
                <w:sz w:val="24"/>
                <w:highlight w:val="none"/>
                <w:lang w:eastAsia="en-US"/>
              </w:rPr>
              <w:t>（C</w:t>
            </w:r>
            <w:r>
              <w:rPr>
                <w:rFonts w:hAnsi="宋体"/>
                <w:color w:val="auto"/>
                <w:spacing w:val="-6"/>
                <w:sz w:val="24"/>
                <w:highlight w:val="none"/>
                <w:lang w:eastAsia="en-US"/>
              </w:rPr>
              <w:t>1</w:t>
            </w:r>
            <w:r>
              <w:rPr>
                <w:rFonts w:hint="eastAsia" w:hAnsi="宋体"/>
                <w:color w:val="auto"/>
                <w:spacing w:val="-6"/>
                <w:sz w:val="24"/>
                <w:highlight w:val="none"/>
                <w:lang w:eastAsia="en-US"/>
              </w:rPr>
              <w:t>）</w:t>
            </w:r>
          </w:p>
        </w:tc>
        <w:tc>
          <w:tcPr>
            <w:tcW w:w="4677" w:type="dxa"/>
            <w:shd w:val="clear" w:color="auto" w:fill="E7E6E6"/>
            <w:vAlign w:val="center"/>
          </w:tcPr>
          <w:p w14:paraId="06725447">
            <w:pPr>
              <w:autoSpaceDE w:val="0"/>
              <w:autoSpaceDN w:val="0"/>
              <w:spacing w:line="360" w:lineRule="auto"/>
              <w:ind w:left="-3" w:right="67" w:firstLine="3"/>
              <w:jc w:val="center"/>
              <w:rPr>
                <w:rFonts w:hAnsi="宋体"/>
                <w:color w:val="auto"/>
                <w:sz w:val="24"/>
                <w:highlight w:val="none"/>
                <w:lang w:eastAsia="en-US"/>
              </w:rPr>
            </w:pPr>
            <w:r>
              <w:rPr>
                <w:rFonts w:hAnsi="宋体"/>
                <w:color w:val="auto"/>
                <w:sz w:val="24"/>
                <w:highlight w:val="none"/>
                <w:lang w:eastAsia="en-US"/>
              </w:rPr>
              <w:t>计算公式</w:t>
            </w:r>
          </w:p>
        </w:tc>
      </w:tr>
      <w:tr w14:paraId="31413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759" w:type="dxa"/>
            <w:vAlign w:val="center"/>
          </w:tcPr>
          <w:p w14:paraId="7ECBC13F">
            <w:pPr>
              <w:autoSpaceDE w:val="0"/>
              <w:autoSpaceDN w:val="0"/>
              <w:spacing w:line="360" w:lineRule="auto"/>
              <w:jc w:val="center"/>
              <w:rPr>
                <w:rFonts w:hAnsi="宋体"/>
                <w:color w:val="auto"/>
                <w:sz w:val="24"/>
                <w:highlight w:val="none"/>
                <w:lang w:eastAsia="en-US"/>
              </w:rPr>
            </w:pPr>
            <w:r>
              <w:rPr>
                <w:rFonts w:hint="eastAsia" w:hAnsi="宋体"/>
                <w:color w:val="auto"/>
                <w:sz w:val="24"/>
                <w:highlight w:val="none"/>
                <w:lang w:eastAsia="en-US"/>
              </w:rPr>
              <w:t>1</w:t>
            </w:r>
          </w:p>
        </w:tc>
        <w:tc>
          <w:tcPr>
            <w:tcW w:w="1554" w:type="dxa"/>
            <w:vAlign w:val="center"/>
          </w:tcPr>
          <w:p w14:paraId="66A6917C">
            <w:pPr>
              <w:autoSpaceDE w:val="0"/>
              <w:autoSpaceDN w:val="0"/>
              <w:spacing w:line="360" w:lineRule="auto"/>
              <w:ind w:left="13"/>
              <w:jc w:val="center"/>
              <w:rPr>
                <w:rFonts w:hAnsi="宋体"/>
                <w:color w:val="auto"/>
                <w:sz w:val="24"/>
                <w:highlight w:val="none"/>
                <w:lang w:eastAsia="zh-CN"/>
              </w:rPr>
            </w:pPr>
            <w:r>
              <w:rPr>
                <w:rFonts w:hint="eastAsia" w:hAnsi="宋体"/>
                <w:color w:val="auto"/>
                <w:spacing w:val="-5"/>
                <w:sz w:val="24"/>
                <w:highlight w:val="none"/>
                <w:lang w:eastAsia="zh-CN"/>
              </w:rPr>
              <w:t>小型、微型企业，监狱企业，残疾人福利性单位</w:t>
            </w:r>
            <w:r>
              <w:rPr>
                <w:rFonts w:hAnsi="宋体"/>
                <w:color w:val="auto"/>
                <w:spacing w:val="-5"/>
                <w:sz w:val="24"/>
                <w:highlight w:val="none"/>
                <w:lang w:eastAsia="zh-CN"/>
              </w:rPr>
              <w:t>、</w:t>
            </w:r>
          </w:p>
        </w:tc>
        <w:tc>
          <w:tcPr>
            <w:tcW w:w="1134" w:type="dxa"/>
            <w:vAlign w:val="center"/>
          </w:tcPr>
          <w:p w14:paraId="627902C9">
            <w:pPr>
              <w:autoSpaceDE w:val="0"/>
              <w:autoSpaceDN w:val="0"/>
              <w:spacing w:line="360" w:lineRule="auto"/>
              <w:jc w:val="center"/>
              <w:rPr>
                <w:rFonts w:hAnsi="宋体"/>
                <w:color w:val="auto"/>
                <w:sz w:val="24"/>
                <w:highlight w:val="none"/>
                <w:lang w:eastAsia="en-US"/>
              </w:rPr>
            </w:pPr>
            <w:r>
              <w:rPr>
                <w:rFonts w:hint="eastAsia" w:hAnsi="宋体"/>
                <w:color w:val="auto"/>
                <w:sz w:val="24"/>
                <w:highlight w:val="none"/>
                <w:lang w:eastAsia="en-US"/>
              </w:rPr>
              <w:t>非联合体</w:t>
            </w:r>
          </w:p>
        </w:tc>
        <w:tc>
          <w:tcPr>
            <w:tcW w:w="1510" w:type="dxa"/>
            <w:vAlign w:val="center"/>
          </w:tcPr>
          <w:p w14:paraId="38DFDC18">
            <w:pPr>
              <w:autoSpaceDE w:val="0"/>
              <w:autoSpaceDN w:val="0"/>
              <w:spacing w:line="360" w:lineRule="auto"/>
              <w:jc w:val="center"/>
              <w:rPr>
                <w:rFonts w:hAnsi="宋体"/>
                <w:color w:val="auto"/>
                <w:sz w:val="24"/>
                <w:highlight w:val="none"/>
                <w:lang w:eastAsia="en-US"/>
              </w:rPr>
            </w:pPr>
            <w:r>
              <w:rPr>
                <w:rFonts w:hint="eastAsia" w:hAnsi="宋体"/>
                <w:color w:val="auto"/>
                <w:sz w:val="24"/>
                <w:highlight w:val="none"/>
                <w:lang w:eastAsia="en-US"/>
              </w:rPr>
              <w:t>2</w:t>
            </w:r>
            <w:r>
              <w:rPr>
                <w:rFonts w:hAnsi="宋体"/>
                <w:color w:val="auto"/>
                <w:sz w:val="24"/>
                <w:highlight w:val="none"/>
                <w:lang w:eastAsia="en-US"/>
              </w:rPr>
              <w:t>0%</w:t>
            </w:r>
          </w:p>
        </w:tc>
        <w:tc>
          <w:tcPr>
            <w:tcW w:w="4677" w:type="dxa"/>
            <w:vAlign w:val="center"/>
          </w:tcPr>
          <w:p w14:paraId="47F80D65">
            <w:pPr>
              <w:autoSpaceDE w:val="0"/>
              <w:autoSpaceDN w:val="0"/>
              <w:spacing w:line="360" w:lineRule="auto"/>
              <w:ind w:left="13" w:right="3"/>
              <w:rPr>
                <w:rFonts w:hAnsi="宋体"/>
                <w:color w:val="auto"/>
                <w:sz w:val="24"/>
                <w:highlight w:val="none"/>
                <w:lang w:eastAsia="zh-CN"/>
              </w:rPr>
            </w:pPr>
            <w:r>
              <w:rPr>
                <w:rFonts w:hAnsi="宋体"/>
                <w:color w:val="auto"/>
                <w:spacing w:val="-7"/>
                <w:sz w:val="24"/>
                <w:highlight w:val="none"/>
                <w:lang w:eastAsia="zh-CN"/>
              </w:rPr>
              <w:t>承接本项目的投标人或联合体成员均为小型、微</w:t>
            </w:r>
            <w:r>
              <w:rPr>
                <w:rFonts w:hAnsi="宋体"/>
                <w:color w:val="auto"/>
                <w:spacing w:val="-3"/>
                <w:sz w:val="24"/>
                <w:highlight w:val="none"/>
                <w:lang w:eastAsia="zh-CN"/>
              </w:rPr>
              <w:t xml:space="preserve">型企业时，给予 </w:t>
            </w:r>
            <w:r>
              <w:rPr>
                <w:rFonts w:hAnsi="宋体"/>
                <w:color w:val="auto"/>
                <w:sz w:val="24"/>
                <w:highlight w:val="none"/>
                <w:lang w:eastAsia="zh-CN"/>
              </w:rPr>
              <w:t>C1</w:t>
            </w:r>
            <w:r>
              <w:rPr>
                <w:rFonts w:hAnsi="宋体"/>
                <w:color w:val="auto"/>
                <w:spacing w:val="-5"/>
                <w:sz w:val="24"/>
                <w:highlight w:val="none"/>
                <w:lang w:eastAsia="zh-CN"/>
              </w:rPr>
              <w:t xml:space="preserve"> 的价格扣除，即：评标价=</w:t>
            </w:r>
            <w:r>
              <w:rPr>
                <w:rFonts w:hAnsi="宋体"/>
                <w:color w:val="auto"/>
                <w:spacing w:val="-6"/>
                <w:sz w:val="24"/>
                <w:highlight w:val="none"/>
                <w:lang w:eastAsia="zh-CN"/>
              </w:rPr>
              <w:t>核实价×（1-C1）；监狱企业与残疾人福利性单位视同小型、微型企业，享受同等价格扣除，当</w:t>
            </w:r>
            <w:r>
              <w:rPr>
                <w:rFonts w:hAnsi="宋体"/>
                <w:color w:val="auto"/>
                <w:spacing w:val="-2"/>
                <w:sz w:val="24"/>
                <w:highlight w:val="none"/>
                <w:lang w:eastAsia="zh-CN"/>
              </w:rPr>
              <w:t>企业属性重复时，不重复价格扣除。</w:t>
            </w:r>
          </w:p>
        </w:tc>
      </w:tr>
    </w:tbl>
    <w:p w14:paraId="4AA26E0B">
      <w:pPr>
        <w:spacing w:line="360" w:lineRule="auto"/>
        <w:ind w:firstLine="482"/>
        <w:rPr>
          <w:rFonts w:hAnsi="宋体"/>
          <w:b/>
          <w:color w:val="auto"/>
          <w:sz w:val="24"/>
          <w:szCs w:val="24"/>
          <w:highlight w:val="none"/>
        </w:rPr>
      </w:pPr>
      <w:r>
        <w:rPr>
          <w:rFonts w:hint="eastAsia" w:hAnsi="宋体"/>
          <w:b/>
          <w:color w:val="auto"/>
          <w:sz w:val="24"/>
          <w:szCs w:val="24"/>
          <w:highlight w:val="none"/>
        </w:rPr>
        <w:t>二、评分标准</w:t>
      </w:r>
    </w:p>
    <w:p w14:paraId="3C391E9A">
      <w:pPr>
        <w:tabs>
          <w:tab w:val="left" w:pos="-3420"/>
          <w:tab w:val="left" w:pos="1620"/>
        </w:tabs>
        <w:spacing w:line="360" w:lineRule="auto"/>
        <w:ind w:firstLine="482"/>
        <w:rPr>
          <w:rFonts w:hAnsi="宋体" w:cs="Times New Roman"/>
          <w:b/>
          <w:color w:val="auto"/>
          <w:sz w:val="24"/>
          <w:szCs w:val="24"/>
          <w:highlight w:val="none"/>
        </w:rPr>
      </w:pPr>
      <w:r>
        <w:rPr>
          <w:rFonts w:hAnsi="宋体" w:cs="Times New Roman"/>
          <w:b/>
          <w:color w:val="auto"/>
          <w:sz w:val="24"/>
          <w:szCs w:val="24"/>
          <w:highlight w:val="none"/>
        </w:rPr>
        <w:t>（一）价格</w:t>
      </w:r>
      <w:r>
        <w:rPr>
          <w:rFonts w:hint="eastAsia" w:hAnsi="宋体" w:cs="Times New Roman"/>
          <w:b/>
          <w:color w:val="auto"/>
          <w:sz w:val="24"/>
          <w:szCs w:val="24"/>
          <w:highlight w:val="none"/>
        </w:rPr>
        <w:t>部</w:t>
      </w:r>
      <w:r>
        <w:rPr>
          <w:rFonts w:hAnsi="宋体" w:cs="Times New Roman"/>
          <w:b/>
          <w:color w:val="auto"/>
          <w:sz w:val="24"/>
          <w:szCs w:val="24"/>
          <w:highlight w:val="none"/>
        </w:rPr>
        <w:t>分（20分）</w:t>
      </w:r>
    </w:p>
    <w:p w14:paraId="5784BF13">
      <w:pPr>
        <w:tabs>
          <w:tab w:val="left" w:pos="-3420"/>
          <w:tab w:val="left" w:pos="1620"/>
        </w:tabs>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1、投标总报价不超过预算金额为有效投标报价，否则为无效报价。无效投标报价的投标文件不进行评审，也不得标；</w:t>
      </w:r>
    </w:p>
    <w:p w14:paraId="60453601">
      <w:pPr>
        <w:tabs>
          <w:tab w:val="left" w:pos="-3420"/>
          <w:tab w:val="left" w:pos="1140"/>
        </w:tabs>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2、在所有有效投标报价中满足招标文件要求，且投标价格最低的投标报价为评标基准价，其价格分为</w:t>
      </w:r>
      <w:r>
        <w:rPr>
          <w:rFonts w:hAnsi="宋体" w:cs="Times New Roman"/>
          <w:color w:val="auto"/>
          <w:sz w:val="24"/>
          <w:szCs w:val="24"/>
          <w:highlight w:val="none"/>
        </w:rPr>
        <w:t>2</w:t>
      </w:r>
      <w:r>
        <w:rPr>
          <w:rFonts w:hint="eastAsia" w:hAnsi="宋体" w:cs="Times New Roman"/>
          <w:color w:val="auto"/>
          <w:sz w:val="24"/>
          <w:szCs w:val="24"/>
          <w:highlight w:val="none"/>
        </w:rPr>
        <w:t>0分，其他投标人的价格分按照下列公式计算（计算结果四舍五入保留两位小数）。</w:t>
      </w:r>
    </w:p>
    <w:p w14:paraId="6DAB233E">
      <w:pPr>
        <w:tabs>
          <w:tab w:val="left" w:pos="-3420"/>
          <w:tab w:val="left" w:pos="1620"/>
        </w:tabs>
        <w:spacing w:line="360" w:lineRule="auto"/>
        <w:ind w:firstLine="480"/>
        <w:rPr>
          <w:rFonts w:hAnsi="宋体" w:cs="Times New Roman"/>
          <w:color w:val="auto"/>
          <w:sz w:val="24"/>
          <w:szCs w:val="24"/>
          <w:highlight w:val="none"/>
        </w:rPr>
      </w:pPr>
      <w:r>
        <w:rPr>
          <w:rFonts w:hint="eastAsia" w:hAnsi="宋体" w:cs="Times New Roman"/>
          <w:color w:val="auto"/>
          <w:sz w:val="24"/>
          <w:szCs w:val="24"/>
          <w:highlight w:val="none"/>
        </w:rPr>
        <w:t>3、投标报价得分＝（评标基准价/投标报价）×</w:t>
      </w:r>
      <w:r>
        <w:rPr>
          <w:rFonts w:hAnsi="宋体" w:cs="Times New Roman"/>
          <w:color w:val="auto"/>
          <w:sz w:val="24"/>
          <w:szCs w:val="24"/>
          <w:highlight w:val="none"/>
        </w:rPr>
        <w:t>2</w:t>
      </w:r>
      <w:r>
        <w:rPr>
          <w:rFonts w:hint="eastAsia" w:hAnsi="宋体" w:cs="Times New Roman"/>
          <w:color w:val="auto"/>
          <w:sz w:val="24"/>
          <w:szCs w:val="24"/>
          <w:highlight w:val="none"/>
        </w:rPr>
        <w:t>0×100</w:t>
      </w:r>
      <w:r>
        <w:rPr>
          <w:rFonts w:hint="eastAsia" w:hAnsi="宋体" w:cs="Times New Roman"/>
          <w:color w:val="auto"/>
          <w:sz w:val="24"/>
          <w:szCs w:val="24"/>
          <w:highlight w:val="none"/>
          <w:lang w:val="en-US" w:eastAsia="zh-CN"/>
        </w:rPr>
        <w:t>%</w:t>
      </w:r>
      <w:r>
        <w:rPr>
          <w:rFonts w:hint="eastAsia" w:hAnsi="宋体" w:cs="Times New Roman"/>
          <w:color w:val="auto"/>
          <w:sz w:val="24"/>
          <w:szCs w:val="24"/>
          <w:highlight w:val="none"/>
        </w:rPr>
        <w:t>。</w:t>
      </w:r>
    </w:p>
    <w:p w14:paraId="15071F89">
      <w:pPr>
        <w:spacing w:line="360" w:lineRule="auto"/>
        <w:ind w:firstLine="422"/>
        <w:rPr>
          <w:rFonts w:hAnsi="宋体" w:cs="Times New Roman"/>
          <w:b/>
          <w:color w:val="auto"/>
          <w:sz w:val="24"/>
          <w:szCs w:val="24"/>
          <w:highlight w:val="none"/>
        </w:rPr>
      </w:pPr>
      <w:r>
        <w:rPr>
          <w:rFonts w:hint="eastAsia" w:hAnsi="宋体" w:cs="Times New Roman"/>
          <w:b/>
          <w:color w:val="auto"/>
          <w:sz w:val="24"/>
          <w:szCs w:val="24"/>
          <w:highlight w:val="none"/>
        </w:rPr>
        <w:t>（二）商务技术部分(</w:t>
      </w:r>
      <w:r>
        <w:rPr>
          <w:rFonts w:hAnsi="宋体" w:cs="Times New Roman"/>
          <w:b/>
          <w:color w:val="auto"/>
          <w:sz w:val="24"/>
          <w:szCs w:val="24"/>
          <w:highlight w:val="none"/>
        </w:rPr>
        <w:t>80</w:t>
      </w:r>
      <w:r>
        <w:rPr>
          <w:rFonts w:hint="eastAsia" w:hAnsi="宋体" w:cs="Times New Roman"/>
          <w:b/>
          <w:color w:val="auto"/>
          <w:sz w:val="24"/>
          <w:szCs w:val="24"/>
          <w:highlight w:val="none"/>
        </w:rPr>
        <w:t>分)</w:t>
      </w:r>
    </w:p>
    <w:tbl>
      <w:tblPr>
        <w:tblStyle w:val="42"/>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307"/>
        <w:gridCol w:w="6693"/>
        <w:gridCol w:w="750"/>
      </w:tblGrid>
      <w:tr w14:paraId="42B6B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794DF7AD">
            <w:pPr>
              <w:adjustRightInd w:val="0"/>
              <w:snapToGrid w:val="0"/>
              <w:spacing w:line="360" w:lineRule="auto"/>
              <w:jc w:val="center"/>
              <w:rPr>
                <w:rFonts w:cs="Times New Roman" w:asciiTheme="minorEastAsia" w:hAnsiTheme="minorEastAsia" w:eastAsiaTheme="minorEastAsia"/>
                <w:b/>
                <w:bCs/>
                <w:color w:val="auto"/>
                <w:kern w:val="2"/>
                <w:sz w:val="24"/>
                <w:szCs w:val="24"/>
                <w:highlight w:val="none"/>
              </w:rPr>
            </w:pPr>
            <w:bookmarkStart w:id="23" w:name="_Hlk177908628"/>
            <w:r>
              <w:rPr>
                <w:rFonts w:hint="eastAsia" w:cs="Times New Roman" w:asciiTheme="minorEastAsia" w:hAnsiTheme="minorEastAsia" w:eastAsiaTheme="minorEastAsia"/>
                <w:b/>
                <w:bCs/>
                <w:color w:val="auto"/>
                <w:kern w:val="2"/>
                <w:sz w:val="24"/>
                <w:szCs w:val="24"/>
                <w:highlight w:val="none"/>
              </w:rPr>
              <w:t>序号</w:t>
            </w:r>
          </w:p>
        </w:tc>
        <w:tc>
          <w:tcPr>
            <w:tcW w:w="690" w:type="pct"/>
            <w:tcBorders>
              <w:top w:val="single" w:color="auto" w:sz="4" w:space="0"/>
              <w:left w:val="single" w:color="auto" w:sz="4" w:space="0"/>
              <w:bottom w:val="single" w:color="auto" w:sz="4" w:space="0"/>
              <w:right w:val="single" w:color="auto" w:sz="4" w:space="0"/>
            </w:tcBorders>
            <w:vAlign w:val="center"/>
          </w:tcPr>
          <w:p w14:paraId="7F165055">
            <w:pPr>
              <w:adjustRightInd w:val="0"/>
              <w:snapToGrid w:val="0"/>
              <w:spacing w:line="360" w:lineRule="auto"/>
              <w:jc w:val="center"/>
              <w:rPr>
                <w:rFonts w:cs="Times New Roman" w:asciiTheme="minorEastAsia" w:hAnsiTheme="minorEastAsia" w:eastAsiaTheme="minorEastAsia"/>
                <w:b/>
                <w:bCs/>
                <w:color w:val="auto"/>
                <w:kern w:val="2"/>
                <w:sz w:val="24"/>
                <w:szCs w:val="24"/>
                <w:highlight w:val="none"/>
              </w:rPr>
            </w:pPr>
            <w:r>
              <w:rPr>
                <w:rFonts w:hint="eastAsia" w:cs="Times New Roman" w:asciiTheme="minorEastAsia" w:hAnsiTheme="minorEastAsia" w:eastAsiaTheme="minorEastAsia"/>
                <w:b/>
                <w:bCs/>
                <w:color w:val="auto"/>
                <w:kern w:val="2"/>
                <w:sz w:val="24"/>
                <w:szCs w:val="24"/>
                <w:highlight w:val="none"/>
              </w:rPr>
              <w:t>评审项</w:t>
            </w:r>
          </w:p>
        </w:tc>
        <w:tc>
          <w:tcPr>
            <w:tcW w:w="3533" w:type="pct"/>
            <w:tcBorders>
              <w:top w:val="single" w:color="auto" w:sz="4" w:space="0"/>
              <w:left w:val="single" w:color="auto" w:sz="4" w:space="0"/>
              <w:bottom w:val="single" w:color="auto" w:sz="4" w:space="0"/>
              <w:right w:val="single" w:color="auto" w:sz="4" w:space="0"/>
            </w:tcBorders>
            <w:vAlign w:val="center"/>
          </w:tcPr>
          <w:p w14:paraId="6D329368">
            <w:pPr>
              <w:adjustRightInd w:val="0"/>
              <w:snapToGrid w:val="0"/>
              <w:spacing w:line="360" w:lineRule="auto"/>
              <w:jc w:val="center"/>
              <w:rPr>
                <w:rFonts w:cs="Times New Roman" w:asciiTheme="minorEastAsia" w:hAnsiTheme="minorEastAsia" w:eastAsiaTheme="minorEastAsia"/>
                <w:b/>
                <w:bCs/>
                <w:color w:val="auto"/>
                <w:kern w:val="2"/>
                <w:sz w:val="24"/>
                <w:szCs w:val="24"/>
                <w:highlight w:val="none"/>
              </w:rPr>
            </w:pPr>
            <w:r>
              <w:rPr>
                <w:rFonts w:hint="eastAsia" w:cs="Times New Roman" w:asciiTheme="minorEastAsia" w:hAnsiTheme="minorEastAsia" w:eastAsiaTheme="minorEastAsia"/>
                <w:b/>
                <w:bCs/>
                <w:color w:val="auto"/>
                <w:kern w:val="2"/>
                <w:sz w:val="24"/>
                <w:szCs w:val="24"/>
                <w:highlight w:val="none"/>
              </w:rPr>
              <w:t>评审要求</w:t>
            </w:r>
          </w:p>
        </w:tc>
        <w:tc>
          <w:tcPr>
            <w:tcW w:w="396" w:type="pct"/>
            <w:tcBorders>
              <w:top w:val="single" w:color="auto" w:sz="4" w:space="0"/>
              <w:left w:val="single" w:color="auto" w:sz="4" w:space="0"/>
              <w:bottom w:val="single" w:color="auto" w:sz="4" w:space="0"/>
              <w:right w:val="single" w:color="auto" w:sz="4" w:space="0"/>
            </w:tcBorders>
            <w:vAlign w:val="center"/>
          </w:tcPr>
          <w:p w14:paraId="06860AB2">
            <w:pPr>
              <w:adjustRightInd w:val="0"/>
              <w:snapToGrid w:val="0"/>
              <w:spacing w:line="360" w:lineRule="auto"/>
              <w:jc w:val="center"/>
              <w:rPr>
                <w:rFonts w:cs="Times New Roman" w:asciiTheme="minorEastAsia" w:hAnsiTheme="minorEastAsia" w:eastAsiaTheme="minorEastAsia"/>
                <w:b/>
                <w:bCs/>
                <w:color w:val="auto"/>
                <w:kern w:val="2"/>
                <w:sz w:val="24"/>
                <w:szCs w:val="24"/>
                <w:highlight w:val="none"/>
              </w:rPr>
            </w:pPr>
            <w:r>
              <w:rPr>
                <w:rFonts w:hint="eastAsia" w:cs="Times New Roman" w:asciiTheme="minorEastAsia" w:hAnsiTheme="minorEastAsia" w:eastAsiaTheme="minorEastAsia"/>
                <w:b/>
                <w:bCs/>
                <w:color w:val="auto"/>
                <w:kern w:val="2"/>
                <w:sz w:val="24"/>
                <w:szCs w:val="24"/>
                <w:highlight w:val="none"/>
              </w:rPr>
              <w:t>分值</w:t>
            </w:r>
          </w:p>
        </w:tc>
      </w:tr>
      <w:tr w14:paraId="3B2BD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3C814A34">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1</w:t>
            </w:r>
          </w:p>
        </w:tc>
        <w:tc>
          <w:tcPr>
            <w:tcW w:w="690" w:type="pct"/>
            <w:tcBorders>
              <w:top w:val="single" w:color="auto" w:sz="4" w:space="0"/>
              <w:left w:val="single" w:color="auto" w:sz="4" w:space="0"/>
              <w:bottom w:val="single" w:color="auto" w:sz="4" w:space="0"/>
              <w:right w:val="single" w:color="auto" w:sz="4" w:space="0"/>
            </w:tcBorders>
            <w:vAlign w:val="center"/>
          </w:tcPr>
          <w:p w14:paraId="663CC0E6">
            <w:pPr>
              <w:widowControl/>
              <w:spacing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道路养护保洁方案</w:t>
            </w:r>
          </w:p>
        </w:tc>
        <w:tc>
          <w:tcPr>
            <w:tcW w:w="3533" w:type="pct"/>
            <w:tcBorders>
              <w:top w:val="single" w:color="auto" w:sz="4" w:space="0"/>
              <w:left w:val="single" w:color="auto" w:sz="4" w:space="0"/>
              <w:bottom w:val="single" w:color="auto" w:sz="4" w:space="0"/>
              <w:right w:val="single" w:color="auto" w:sz="4" w:space="0"/>
            </w:tcBorders>
            <w:vAlign w:val="center"/>
          </w:tcPr>
          <w:p w14:paraId="12EB8400">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根据投标人针对本项目所提供的道路养护保洁方案进行评分，内容至少包括：①机械化设备作业方案；②人工（巡回）养护保洁方案；③作业路线规划及时间表安排；④垃圾处置方案；⑤人员安全培训方案等；⑥</w:t>
            </w:r>
            <w:r>
              <w:rPr>
                <w:rFonts w:hint="eastAsia" w:hAnsi="宋体"/>
                <w:bCs/>
                <w:color w:val="auto"/>
                <w:sz w:val="24"/>
                <w:szCs w:val="24"/>
                <w:highlight w:val="none"/>
              </w:rPr>
              <w:t>甲供车辆设备维保方案</w:t>
            </w:r>
            <w:r>
              <w:rPr>
                <w:rFonts w:hint="eastAsia" w:asciiTheme="minorEastAsia" w:hAnsiTheme="minorEastAsia" w:eastAsiaTheme="minorEastAsia"/>
                <w:color w:val="auto"/>
                <w:sz w:val="24"/>
                <w:szCs w:val="24"/>
                <w:highlight w:val="none"/>
              </w:rPr>
              <w:t>。每一项内容完全针对本项目且符合本项目实际需求的得</w:t>
            </w:r>
            <w:r>
              <w:rPr>
                <w:rFonts w:asciiTheme="minorEastAsia" w:hAnsiTheme="minorEastAsia" w:eastAsiaTheme="minorEastAsia"/>
                <w:color w:val="auto"/>
                <w:sz w:val="24"/>
                <w:szCs w:val="24"/>
                <w:highlight w:val="none"/>
              </w:rPr>
              <w:t>2</w:t>
            </w:r>
            <w:r>
              <w:rPr>
                <w:rFonts w:hint="eastAsia" w:asciiTheme="minorEastAsia" w:hAnsiTheme="minorEastAsia" w:eastAsiaTheme="minorEastAsia"/>
                <w:color w:val="auto"/>
                <w:sz w:val="24"/>
                <w:szCs w:val="24"/>
                <w:highlight w:val="none"/>
              </w:rPr>
              <w:t>分，最高得</w:t>
            </w:r>
            <w:r>
              <w:rPr>
                <w:rFonts w:asciiTheme="minorEastAsia" w:hAnsiTheme="minorEastAsia" w:eastAsiaTheme="minorEastAsia"/>
                <w:color w:val="auto"/>
                <w:sz w:val="24"/>
                <w:szCs w:val="24"/>
                <w:highlight w:val="none"/>
              </w:rPr>
              <w:t>12</w:t>
            </w:r>
            <w:r>
              <w:rPr>
                <w:rFonts w:hint="eastAsia" w:asciiTheme="minorEastAsia" w:hAnsiTheme="minorEastAsia" w:eastAsiaTheme="minorEastAsia"/>
                <w:color w:val="auto"/>
                <w:sz w:val="24"/>
                <w:szCs w:val="24"/>
                <w:highlight w:val="none"/>
              </w:rPr>
              <w:t>分。</w:t>
            </w:r>
          </w:p>
        </w:tc>
        <w:tc>
          <w:tcPr>
            <w:tcW w:w="396" w:type="pct"/>
            <w:tcBorders>
              <w:top w:val="single" w:color="auto" w:sz="4" w:space="0"/>
              <w:left w:val="single" w:color="auto" w:sz="4" w:space="0"/>
              <w:bottom w:val="single" w:color="auto" w:sz="4" w:space="0"/>
              <w:right w:val="single" w:color="auto" w:sz="4" w:space="0"/>
            </w:tcBorders>
            <w:vAlign w:val="center"/>
          </w:tcPr>
          <w:p w14:paraId="6B28A685">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12</w:t>
            </w:r>
          </w:p>
        </w:tc>
      </w:tr>
      <w:tr w14:paraId="48A7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62A4FC6C">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2</w:t>
            </w:r>
          </w:p>
        </w:tc>
        <w:tc>
          <w:tcPr>
            <w:tcW w:w="690" w:type="pct"/>
            <w:tcBorders>
              <w:top w:val="single" w:color="auto" w:sz="4" w:space="0"/>
              <w:left w:val="single" w:color="auto" w:sz="4" w:space="0"/>
              <w:bottom w:val="single" w:color="auto" w:sz="4" w:space="0"/>
              <w:right w:val="single" w:color="auto" w:sz="4" w:space="0"/>
            </w:tcBorders>
            <w:vAlign w:val="center"/>
          </w:tcPr>
          <w:p w14:paraId="4E29A666">
            <w:pPr>
              <w:widowControl/>
              <w:spacing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应急处置方案</w:t>
            </w:r>
          </w:p>
        </w:tc>
        <w:tc>
          <w:tcPr>
            <w:tcW w:w="3533" w:type="pct"/>
            <w:tcBorders>
              <w:top w:val="single" w:color="auto" w:sz="4" w:space="0"/>
              <w:left w:val="single" w:color="auto" w:sz="4" w:space="0"/>
              <w:bottom w:val="single" w:color="auto" w:sz="4" w:space="0"/>
              <w:right w:val="single" w:color="auto" w:sz="4" w:space="0"/>
            </w:tcBorders>
            <w:vAlign w:val="center"/>
          </w:tcPr>
          <w:p w14:paraId="0F1E659F">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根据投标人针对本项目所提供的应急处置方案进行评分，内容至少包括：①道路紧急情况及突发事件处理方案；②自然灾害（恶劣天气）处理预案；③消防应急预案；④节假日、重大活动预案；</w:t>
            </w:r>
            <w:r>
              <w:rPr>
                <w:rFonts w:hint="eastAsia" w:ascii="仿宋" w:hAnsi="仿宋" w:eastAsia="仿宋"/>
                <w:color w:val="auto"/>
                <w:sz w:val="24"/>
                <w:szCs w:val="24"/>
                <w:highlight w:val="none"/>
              </w:rPr>
              <w:t>⑤</w:t>
            </w:r>
            <w:r>
              <w:rPr>
                <w:rFonts w:hint="eastAsia" w:asciiTheme="minorEastAsia" w:hAnsiTheme="minorEastAsia" w:eastAsiaTheme="minorEastAsia"/>
                <w:color w:val="auto"/>
                <w:sz w:val="24"/>
                <w:szCs w:val="24"/>
                <w:highlight w:val="none"/>
              </w:rPr>
              <w:t>服务人员意外事故处置预案。每一项内容完全针对本项目且符合本项目实际需求的得2分，最高得</w:t>
            </w:r>
            <w:r>
              <w:rPr>
                <w:rFonts w:asciiTheme="minorEastAsia" w:hAnsiTheme="minorEastAsia" w:eastAsiaTheme="minorEastAsia"/>
                <w:color w:val="auto"/>
                <w:sz w:val="24"/>
                <w:szCs w:val="24"/>
                <w:highlight w:val="none"/>
              </w:rPr>
              <w:t>10</w:t>
            </w:r>
            <w:r>
              <w:rPr>
                <w:rFonts w:hint="eastAsia" w:asciiTheme="minorEastAsia" w:hAnsiTheme="minorEastAsia" w:eastAsiaTheme="minorEastAsia"/>
                <w:color w:val="auto"/>
                <w:sz w:val="24"/>
                <w:szCs w:val="24"/>
                <w:highlight w:val="none"/>
              </w:rPr>
              <w:t>分。</w:t>
            </w:r>
          </w:p>
        </w:tc>
        <w:tc>
          <w:tcPr>
            <w:tcW w:w="396" w:type="pct"/>
            <w:tcBorders>
              <w:top w:val="single" w:color="auto" w:sz="4" w:space="0"/>
              <w:left w:val="single" w:color="auto" w:sz="4" w:space="0"/>
              <w:bottom w:val="single" w:color="auto" w:sz="4" w:space="0"/>
              <w:right w:val="single" w:color="auto" w:sz="4" w:space="0"/>
            </w:tcBorders>
            <w:vAlign w:val="center"/>
          </w:tcPr>
          <w:p w14:paraId="4D07192E">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10</w:t>
            </w:r>
          </w:p>
        </w:tc>
      </w:tr>
      <w:tr w14:paraId="65AD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4FF11DFF">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bookmarkStart w:id="24" w:name="_Hlk189726969"/>
            <w:r>
              <w:rPr>
                <w:rFonts w:cs="Times New Roman" w:asciiTheme="minorEastAsia" w:hAnsiTheme="minorEastAsia" w:eastAsiaTheme="minorEastAsia"/>
                <w:color w:val="auto"/>
                <w:kern w:val="2"/>
                <w:sz w:val="24"/>
                <w:szCs w:val="24"/>
                <w:highlight w:val="none"/>
              </w:rPr>
              <w:t>3</w:t>
            </w:r>
          </w:p>
        </w:tc>
        <w:tc>
          <w:tcPr>
            <w:tcW w:w="690" w:type="pct"/>
            <w:tcBorders>
              <w:top w:val="single" w:color="auto" w:sz="4" w:space="0"/>
              <w:left w:val="single" w:color="auto" w:sz="4" w:space="0"/>
              <w:bottom w:val="single" w:color="auto" w:sz="4" w:space="0"/>
              <w:right w:val="single" w:color="auto" w:sz="4" w:space="0"/>
            </w:tcBorders>
            <w:vAlign w:val="center"/>
          </w:tcPr>
          <w:p w14:paraId="7B6A2AE9">
            <w:pPr>
              <w:spacing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工作制度</w:t>
            </w:r>
          </w:p>
        </w:tc>
        <w:tc>
          <w:tcPr>
            <w:tcW w:w="3533" w:type="pct"/>
            <w:tcBorders>
              <w:top w:val="single" w:color="auto" w:sz="4" w:space="0"/>
              <w:left w:val="single" w:color="auto" w:sz="4" w:space="0"/>
              <w:bottom w:val="single" w:color="auto" w:sz="4" w:space="0"/>
              <w:right w:val="single" w:color="auto" w:sz="4" w:space="0"/>
            </w:tcBorders>
          </w:tcPr>
          <w:p w14:paraId="5BEE9C8B">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投标人针对本项目所提供的工作制度进行评分，内容至少包括：①人员组织架构及考核制度；②日常管理制度；③岗位职责及岗位操作规程；④各类台账管理制度。每一项内容完全针对本项目且符合本项目实际需求的得2分，最高得8分。</w:t>
            </w:r>
          </w:p>
        </w:tc>
        <w:tc>
          <w:tcPr>
            <w:tcW w:w="396" w:type="pct"/>
            <w:tcBorders>
              <w:top w:val="single" w:color="auto" w:sz="4" w:space="0"/>
              <w:left w:val="single" w:color="auto" w:sz="4" w:space="0"/>
              <w:bottom w:val="single" w:color="auto" w:sz="4" w:space="0"/>
              <w:right w:val="single" w:color="auto" w:sz="4" w:space="0"/>
            </w:tcBorders>
            <w:vAlign w:val="center"/>
          </w:tcPr>
          <w:p w14:paraId="24ACEA59">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p>
        </w:tc>
      </w:tr>
      <w:bookmarkEnd w:id="24"/>
      <w:tr w14:paraId="6BF9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5452C864">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cs="Times New Roman" w:asciiTheme="minorEastAsia" w:hAnsiTheme="minorEastAsia" w:eastAsiaTheme="minorEastAsia"/>
                <w:color w:val="auto"/>
                <w:kern w:val="2"/>
                <w:sz w:val="24"/>
                <w:szCs w:val="24"/>
                <w:highlight w:val="none"/>
              </w:rPr>
              <w:t>4</w:t>
            </w:r>
          </w:p>
        </w:tc>
        <w:tc>
          <w:tcPr>
            <w:tcW w:w="690" w:type="pct"/>
            <w:tcBorders>
              <w:top w:val="single" w:color="auto" w:sz="4" w:space="0"/>
              <w:left w:val="single" w:color="auto" w:sz="4" w:space="0"/>
              <w:bottom w:val="single" w:color="auto" w:sz="4" w:space="0"/>
              <w:right w:val="single" w:color="auto" w:sz="4" w:space="0"/>
            </w:tcBorders>
            <w:vAlign w:val="center"/>
          </w:tcPr>
          <w:p w14:paraId="27FBB3D4">
            <w:pPr>
              <w:spacing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安全文明作业保障措施</w:t>
            </w:r>
          </w:p>
        </w:tc>
        <w:tc>
          <w:tcPr>
            <w:tcW w:w="3533" w:type="pct"/>
            <w:tcBorders>
              <w:top w:val="single" w:color="auto" w:sz="4" w:space="0"/>
              <w:left w:val="single" w:color="auto" w:sz="4" w:space="0"/>
              <w:bottom w:val="single" w:color="auto" w:sz="4" w:space="0"/>
              <w:right w:val="single" w:color="auto" w:sz="4" w:space="0"/>
            </w:tcBorders>
          </w:tcPr>
          <w:p w14:paraId="619629EF">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根据投标人针对本项目所提供的安全文明作业保障措施进行评分，内容至少包扣：①</w:t>
            </w:r>
            <w:r>
              <w:rPr>
                <w:rFonts w:asciiTheme="minorEastAsia" w:hAnsiTheme="minorEastAsia" w:eastAsiaTheme="minorEastAsia"/>
                <w:color w:val="auto"/>
                <w:sz w:val="24"/>
                <w:szCs w:val="24"/>
                <w:highlight w:val="none"/>
              </w:rPr>
              <w:t>人员安全保障</w:t>
            </w:r>
            <w:r>
              <w:rPr>
                <w:rFonts w:hint="eastAsia" w:asciiTheme="minorEastAsia" w:hAnsiTheme="minorEastAsia" w:eastAsiaTheme="minorEastAsia"/>
                <w:color w:val="auto"/>
                <w:sz w:val="24"/>
                <w:szCs w:val="24"/>
                <w:highlight w:val="none"/>
              </w:rPr>
              <w:t>措施；②车辆设备停放管理方案；③车辆设备安全文明作业方案；④安全文明作业监管措施。</w:t>
            </w:r>
            <w:bookmarkStart w:id="25" w:name="OLE_LINK73"/>
            <w:bookmarkStart w:id="26" w:name="OLE_LINK72"/>
            <w:r>
              <w:rPr>
                <w:rFonts w:hint="eastAsia" w:asciiTheme="minorEastAsia" w:hAnsiTheme="minorEastAsia" w:eastAsiaTheme="minorEastAsia"/>
                <w:color w:val="auto"/>
                <w:sz w:val="24"/>
                <w:szCs w:val="24"/>
                <w:highlight w:val="none"/>
              </w:rPr>
              <w:t>每一项内容完全针对本项目且符合本项目实际需求的得2分，最高得</w:t>
            </w: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分。</w:t>
            </w:r>
            <w:bookmarkEnd w:id="25"/>
            <w:bookmarkEnd w:id="26"/>
          </w:p>
        </w:tc>
        <w:tc>
          <w:tcPr>
            <w:tcW w:w="396" w:type="pct"/>
            <w:tcBorders>
              <w:top w:val="single" w:color="auto" w:sz="4" w:space="0"/>
              <w:left w:val="single" w:color="auto" w:sz="4" w:space="0"/>
              <w:bottom w:val="single" w:color="auto" w:sz="4" w:space="0"/>
              <w:right w:val="single" w:color="auto" w:sz="4" w:space="0"/>
            </w:tcBorders>
            <w:vAlign w:val="center"/>
          </w:tcPr>
          <w:p w14:paraId="736950F8">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p>
        </w:tc>
      </w:tr>
      <w:tr w14:paraId="02C3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6F93FE66">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cs="Times New Roman" w:asciiTheme="minorEastAsia" w:hAnsiTheme="minorEastAsia" w:eastAsiaTheme="minorEastAsia"/>
                <w:color w:val="auto"/>
                <w:kern w:val="2"/>
                <w:sz w:val="24"/>
                <w:szCs w:val="24"/>
                <w:highlight w:val="none"/>
              </w:rPr>
              <w:t>5</w:t>
            </w:r>
          </w:p>
        </w:tc>
        <w:tc>
          <w:tcPr>
            <w:tcW w:w="690" w:type="pct"/>
            <w:tcBorders>
              <w:top w:val="single" w:color="auto" w:sz="4" w:space="0"/>
              <w:left w:val="single" w:color="auto" w:sz="4" w:space="0"/>
              <w:bottom w:val="single" w:color="auto" w:sz="4" w:space="0"/>
              <w:right w:val="single" w:color="auto" w:sz="4" w:space="0"/>
            </w:tcBorders>
            <w:vAlign w:val="center"/>
          </w:tcPr>
          <w:p w14:paraId="1A436AB8">
            <w:pPr>
              <w:widowControl/>
              <w:spacing w:line="360" w:lineRule="auto"/>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重点难点问题分析及处置</w:t>
            </w:r>
          </w:p>
        </w:tc>
        <w:tc>
          <w:tcPr>
            <w:tcW w:w="3533" w:type="pct"/>
            <w:tcBorders>
              <w:top w:val="single" w:color="auto" w:sz="4" w:space="0"/>
              <w:left w:val="single" w:color="auto" w:sz="4" w:space="0"/>
              <w:bottom w:val="single" w:color="auto" w:sz="4" w:space="0"/>
              <w:right w:val="single" w:color="auto" w:sz="4" w:space="0"/>
            </w:tcBorders>
            <w:vAlign w:val="center"/>
          </w:tcPr>
          <w:p w14:paraId="04F7B684">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根据投标人针对本项目所提供的重点难点问题分析及处置进行评分，内容至少包括：①工业区周边保洁；②落叶季节保洁；③乱倒垃圾严重区域处置；④工程车密集区域保洁。每一项内容完全针对本项目且符合本项目实际需求的得2分，最高得</w:t>
            </w: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分。</w:t>
            </w:r>
          </w:p>
        </w:tc>
        <w:tc>
          <w:tcPr>
            <w:tcW w:w="396" w:type="pct"/>
            <w:tcBorders>
              <w:top w:val="single" w:color="auto" w:sz="4" w:space="0"/>
              <w:left w:val="single" w:color="auto" w:sz="4" w:space="0"/>
              <w:bottom w:val="single" w:color="auto" w:sz="4" w:space="0"/>
              <w:right w:val="single" w:color="auto" w:sz="4" w:space="0"/>
            </w:tcBorders>
            <w:vAlign w:val="center"/>
          </w:tcPr>
          <w:p w14:paraId="24FDFDE3">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p>
        </w:tc>
      </w:tr>
      <w:tr w14:paraId="43EB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2AD5C4A8">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6</w:t>
            </w:r>
          </w:p>
        </w:tc>
        <w:tc>
          <w:tcPr>
            <w:tcW w:w="690" w:type="pct"/>
            <w:tcBorders>
              <w:top w:val="single" w:color="auto" w:sz="4" w:space="0"/>
              <w:left w:val="single" w:color="auto" w:sz="4" w:space="0"/>
              <w:bottom w:val="single" w:color="auto" w:sz="4" w:space="0"/>
              <w:right w:val="single" w:color="auto" w:sz="4" w:space="0"/>
            </w:tcBorders>
            <w:vAlign w:val="center"/>
          </w:tcPr>
          <w:p w14:paraId="799949F0">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项目人员</w:t>
            </w:r>
          </w:p>
        </w:tc>
        <w:tc>
          <w:tcPr>
            <w:tcW w:w="3533" w:type="pct"/>
            <w:tcBorders>
              <w:top w:val="single" w:color="auto" w:sz="4" w:space="0"/>
              <w:left w:val="single" w:color="auto" w:sz="4" w:space="0"/>
              <w:bottom w:val="single" w:color="auto" w:sz="4" w:space="0"/>
              <w:right w:val="single" w:color="auto" w:sz="4" w:space="0"/>
            </w:tcBorders>
            <w:vAlign w:val="center"/>
          </w:tcPr>
          <w:p w14:paraId="3C423C8F">
            <w:pPr>
              <w:spacing w:line="360" w:lineRule="auto"/>
              <w:rPr>
                <w:rFonts w:hAnsi="宋体"/>
                <w:b/>
                <w:color w:val="auto"/>
                <w:sz w:val="24"/>
                <w:szCs w:val="24"/>
                <w:highlight w:val="none"/>
              </w:rPr>
            </w:pPr>
            <w:r>
              <w:rPr>
                <w:rFonts w:hint="eastAsia" w:hAnsi="宋体"/>
                <w:color w:val="auto"/>
                <w:sz w:val="24"/>
                <w:szCs w:val="24"/>
                <w:highlight w:val="none"/>
              </w:rPr>
              <w:t>1、拟派项目负责人具有5年及以上城市道路（公路）保洁（养护）从业经验得</w:t>
            </w:r>
            <w:r>
              <w:rPr>
                <w:rFonts w:hAnsi="宋体"/>
                <w:color w:val="auto"/>
                <w:sz w:val="24"/>
                <w:szCs w:val="24"/>
                <w:highlight w:val="none"/>
              </w:rPr>
              <w:t>2</w:t>
            </w:r>
            <w:r>
              <w:rPr>
                <w:rFonts w:hint="eastAsia" w:hAnsi="宋体"/>
                <w:color w:val="auto"/>
                <w:sz w:val="24"/>
                <w:szCs w:val="24"/>
                <w:highlight w:val="none"/>
              </w:rPr>
              <w:t>分。</w:t>
            </w:r>
            <w:r>
              <w:rPr>
                <w:rFonts w:hint="eastAsia" w:hAnsi="宋体"/>
                <w:b/>
                <w:color w:val="auto"/>
                <w:sz w:val="24"/>
                <w:szCs w:val="24"/>
                <w:highlight w:val="none"/>
              </w:rPr>
              <w:t>（注：提供对应人员姓名、身份证、工作经验证明材料及及开标前3个月内任意一个月投标人为以上人员缴纳的社保证明材料加盖投标人公章，否则不得分）。</w:t>
            </w:r>
          </w:p>
          <w:p w14:paraId="37C8787B">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2、投标人拟派作业人员（不含项目负责人）持有特种设备安全管理和作业人员证（作业项目：叉车），每有一人得1分，最高得3分。</w:t>
            </w:r>
            <w:r>
              <w:rPr>
                <w:rFonts w:hint="eastAsia" w:asciiTheme="minorEastAsia" w:hAnsiTheme="minorEastAsia" w:eastAsiaTheme="minorEastAsia"/>
                <w:b/>
                <w:bCs/>
                <w:color w:val="auto"/>
                <w:sz w:val="24"/>
                <w:szCs w:val="24"/>
                <w:highlight w:val="none"/>
              </w:rPr>
              <w:t>（提供人员证书、证书网上查询截图及近三个月内任意一期投标单位为其缴纳社保的证明材料。）</w:t>
            </w:r>
          </w:p>
        </w:tc>
        <w:tc>
          <w:tcPr>
            <w:tcW w:w="396" w:type="pct"/>
            <w:tcBorders>
              <w:top w:val="single" w:color="auto" w:sz="4" w:space="0"/>
              <w:left w:val="single" w:color="auto" w:sz="4" w:space="0"/>
              <w:bottom w:val="single" w:color="auto" w:sz="4" w:space="0"/>
              <w:right w:val="single" w:color="auto" w:sz="4" w:space="0"/>
            </w:tcBorders>
            <w:vAlign w:val="center"/>
          </w:tcPr>
          <w:p w14:paraId="744FAA2D">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cs="Times New Roman" w:asciiTheme="minorEastAsia" w:hAnsiTheme="minorEastAsia" w:eastAsiaTheme="minorEastAsia"/>
                <w:color w:val="auto"/>
                <w:kern w:val="2"/>
                <w:sz w:val="24"/>
                <w:szCs w:val="24"/>
                <w:highlight w:val="none"/>
              </w:rPr>
              <w:t>5</w:t>
            </w:r>
          </w:p>
        </w:tc>
      </w:tr>
      <w:tr w14:paraId="06E5C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37D42E82">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7</w:t>
            </w:r>
          </w:p>
        </w:tc>
        <w:tc>
          <w:tcPr>
            <w:tcW w:w="690" w:type="pct"/>
            <w:tcBorders>
              <w:top w:val="single" w:color="auto" w:sz="4" w:space="0"/>
              <w:left w:val="single" w:color="auto" w:sz="4" w:space="0"/>
              <w:bottom w:val="single" w:color="auto" w:sz="4" w:space="0"/>
              <w:right w:val="single" w:color="auto" w:sz="4" w:space="0"/>
            </w:tcBorders>
            <w:vAlign w:val="center"/>
          </w:tcPr>
          <w:p w14:paraId="16F873B1">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拟投入本项目的机械设备</w:t>
            </w:r>
          </w:p>
        </w:tc>
        <w:tc>
          <w:tcPr>
            <w:tcW w:w="3533" w:type="pct"/>
            <w:tcBorders>
              <w:top w:val="single" w:color="auto" w:sz="4" w:space="0"/>
              <w:left w:val="single" w:color="auto" w:sz="4" w:space="0"/>
              <w:bottom w:val="single" w:color="auto" w:sz="4" w:space="0"/>
              <w:right w:val="single" w:color="auto" w:sz="4" w:space="0"/>
            </w:tcBorders>
            <w:vAlign w:val="center"/>
          </w:tcPr>
          <w:p w14:paraId="43E889A3">
            <w:pPr>
              <w:spacing w:line="360" w:lineRule="auto"/>
              <w:rPr>
                <w:rFonts w:hAnsi="宋体"/>
                <w:b/>
                <w:color w:val="auto"/>
                <w:sz w:val="24"/>
                <w:szCs w:val="24"/>
                <w:highlight w:val="none"/>
              </w:rPr>
            </w:pPr>
            <w:r>
              <w:rPr>
                <w:rFonts w:hint="eastAsia" w:hAnsi="宋体"/>
                <w:b/>
                <w:bCs/>
                <w:color w:val="auto"/>
                <w:sz w:val="24"/>
                <w:szCs w:val="24"/>
                <w:highlight w:val="none"/>
              </w:rPr>
              <w:t>为提高作业效率或应对甲供车辆突发故障，投标人自行配备的相关车辆</w:t>
            </w:r>
            <w:r>
              <w:rPr>
                <w:rFonts w:hint="eastAsia" w:hAnsi="宋体"/>
                <w:b/>
                <w:color w:val="auto"/>
                <w:sz w:val="24"/>
                <w:szCs w:val="24"/>
                <w:highlight w:val="none"/>
              </w:rPr>
              <w:t>：</w:t>
            </w:r>
          </w:p>
          <w:p w14:paraId="53EFF23F">
            <w:pPr>
              <w:spacing w:line="360" w:lineRule="auto"/>
              <w:jc w:val="both"/>
              <w:rPr>
                <w:rFonts w:hAnsi="宋体"/>
                <w:bCs/>
                <w:color w:val="auto"/>
                <w:sz w:val="24"/>
                <w:szCs w:val="24"/>
                <w:highlight w:val="none"/>
              </w:rPr>
            </w:pPr>
            <w:r>
              <w:rPr>
                <w:rFonts w:hint="eastAsia" w:hAnsi="宋体"/>
                <w:bCs/>
                <w:color w:val="auto"/>
                <w:sz w:val="24"/>
                <w:szCs w:val="24"/>
                <w:highlight w:val="none"/>
              </w:rPr>
              <w:t>（1）整备质量达3吨及以上中型洗扫车3辆，得</w:t>
            </w:r>
            <w:r>
              <w:rPr>
                <w:rFonts w:hAnsi="宋体"/>
                <w:bCs/>
                <w:color w:val="auto"/>
                <w:sz w:val="24"/>
                <w:szCs w:val="24"/>
                <w:highlight w:val="none"/>
              </w:rPr>
              <w:t>3</w:t>
            </w:r>
            <w:r>
              <w:rPr>
                <w:rFonts w:hint="eastAsia" w:hAnsi="宋体"/>
                <w:bCs/>
                <w:color w:val="auto"/>
                <w:sz w:val="24"/>
                <w:szCs w:val="24"/>
                <w:highlight w:val="none"/>
              </w:rPr>
              <w:t>分；</w:t>
            </w:r>
          </w:p>
          <w:p w14:paraId="274ECB9B">
            <w:pPr>
              <w:spacing w:line="360" w:lineRule="auto"/>
              <w:jc w:val="both"/>
              <w:rPr>
                <w:rFonts w:hAnsi="宋体"/>
                <w:bCs/>
                <w:color w:val="auto"/>
                <w:sz w:val="24"/>
                <w:szCs w:val="24"/>
                <w:highlight w:val="none"/>
              </w:rPr>
            </w:pPr>
            <w:r>
              <w:rPr>
                <w:rFonts w:hint="eastAsia" w:hAnsi="宋体"/>
                <w:bCs/>
                <w:color w:val="auto"/>
                <w:sz w:val="24"/>
                <w:szCs w:val="24"/>
                <w:highlight w:val="none"/>
              </w:rPr>
              <w:t>（2）整备质量达8吨及以上洗扫车6辆，得</w:t>
            </w:r>
            <w:r>
              <w:rPr>
                <w:rFonts w:hAnsi="宋体"/>
                <w:bCs/>
                <w:color w:val="auto"/>
                <w:sz w:val="24"/>
                <w:szCs w:val="24"/>
                <w:highlight w:val="none"/>
              </w:rPr>
              <w:t>4</w:t>
            </w:r>
            <w:r>
              <w:rPr>
                <w:rFonts w:hint="eastAsia" w:hAnsi="宋体"/>
                <w:bCs/>
                <w:color w:val="auto"/>
                <w:sz w:val="24"/>
                <w:szCs w:val="24"/>
                <w:highlight w:val="none"/>
              </w:rPr>
              <w:t>分；</w:t>
            </w:r>
          </w:p>
          <w:p w14:paraId="167C95B0">
            <w:pPr>
              <w:spacing w:line="360" w:lineRule="auto"/>
              <w:jc w:val="both"/>
              <w:rPr>
                <w:rFonts w:hAnsi="宋体"/>
                <w:bCs/>
                <w:color w:val="auto"/>
                <w:sz w:val="24"/>
                <w:szCs w:val="24"/>
                <w:highlight w:val="none"/>
              </w:rPr>
            </w:pPr>
            <w:r>
              <w:rPr>
                <w:rFonts w:hint="eastAsia" w:hAnsi="宋体"/>
                <w:bCs/>
                <w:color w:val="auto"/>
                <w:sz w:val="24"/>
                <w:szCs w:val="24"/>
                <w:highlight w:val="none"/>
              </w:rPr>
              <w:t>（3）扫路车3辆，得2分；</w:t>
            </w:r>
          </w:p>
          <w:p w14:paraId="3E56451A">
            <w:pPr>
              <w:spacing w:line="360" w:lineRule="auto"/>
              <w:jc w:val="both"/>
              <w:rPr>
                <w:rFonts w:hAnsi="宋体"/>
                <w:bCs/>
                <w:color w:val="auto"/>
                <w:sz w:val="24"/>
                <w:szCs w:val="24"/>
                <w:highlight w:val="none"/>
              </w:rPr>
            </w:pPr>
            <w:r>
              <w:rPr>
                <w:rFonts w:hint="eastAsia" w:hAnsi="宋体"/>
                <w:bCs/>
                <w:color w:val="auto"/>
                <w:sz w:val="24"/>
                <w:szCs w:val="24"/>
                <w:highlight w:val="none"/>
              </w:rPr>
              <w:t>（4）小型高压冲洗车2辆，得</w:t>
            </w:r>
            <w:r>
              <w:rPr>
                <w:rFonts w:hAnsi="宋体"/>
                <w:bCs/>
                <w:color w:val="auto"/>
                <w:sz w:val="24"/>
                <w:szCs w:val="24"/>
                <w:highlight w:val="none"/>
              </w:rPr>
              <w:t>2</w:t>
            </w:r>
            <w:r>
              <w:rPr>
                <w:rFonts w:hint="eastAsia" w:hAnsi="宋体"/>
                <w:bCs/>
                <w:color w:val="auto"/>
                <w:sz w:val="24"/>
                <w:szCs w:val="24"/>
                <w:highlight w:val="none"/>
              </w:rPr>
              <w:t>分；</w:t>
            </w:r>
          </w:p>
          <w:p w14:paraId="75ED2B6C">
            <w:pPr>
              <w:spacing w:line="360" w:lineRule="auto"/>
              <w:jc w:val="both"/>
              <w:rPr>
                <w:rFonts w:hAnsi="宋体"/>
                <w:bCs/>
                <w:color w:val="auto"/>
                <w:sz w:val="24"/>
                <w:szCs w:val="24"/>
                <w:highlight w:val="none"/>
              </w:rPr>
            </w:pPr>
            <w:r>
              <w:rPr>
                <w:rFonts w:hint="eastAsia" w:hAnsi="宋体"/>
                <w:bCs/>
                <w:color w:val="auto"/>
                <w:sz w:val="24"/>
                <w:szCs w:val="24"/>
                <w:highlight w:val="none"/>
              </w:rPr>
              <w:t>（5）雾炮车总质量7吨以上2辆，得2分；</w:t>
            </w:r>
          </w:p>
          <w:p w14:paraId="65376A1B">
            <w:pPr>
              <w:spacing w:line="360" w:lineRule="auto"/>
              <w:jc w:val="both"/>
              <w:rPr>
                <w:rFonts w:hAnsi="宋体"/>
                <w:bCs/>
                <w:color w:val="auto"/>
                <w:sz w:val="24"/>
                <w:szCs w:val="24"/>
                <w:highlight w:val="none"/>
              </w:rPr>
            </w:pPr>
            <w:r>
              <w:rPr>
                <w:rFonts w:hint="eastAsia" w:hAnsi="宋体"/>
                <w:bCs/>
                <w:color w:val="auto"/>
                <w:sz w:val="24"/>
                <w:szCs w:val="24"/>
                <w:highlight w:val="none"/>
              </w:rPr>
              <w:t>（6）电动三轮保洁车56辆，得</w:t>
            </w:r>
            <w:r>
              <w:rPr>
                <w:rFonts w:hAnsi="宋体"/>
                <w:bCs/>
                <w:color w:val="auto"/>
                <w:sz w:val="24"/>
                <w:szCs w:val="24"/>
                <w:highlight w:val="none"/>
              </w:rPr>
              <w:t>3</w:t>
            </w:r>
            <w:r>
              <w:rPr>
                <w:rFonts w:hint="eastAsia" w:hAnsi="宋体"/>
                <w:bCs/>
                <w:color w:val="auto"/>
                <w:sz w:val="24"/>
                <w:szCs w:val="24"/>
                <w:highlight w:val="none"/>
              </w:rPr>
              <w:t>分；</w:t>
            </w:r>
          </w:p>
          <w:p w14:paraId="12B04BCC">
            <w:pPr>
              <w:spacing w:line="360" w:lineRule="auto"/>
              <w:jc w:val="both"/>
              <w:rPr>
                <w:rFonts w:hAnsi="宋体"/>
                <w:bCs/>
                <w:color w:val="auto"/>
                <w:sz w:val="24"/>
                <w:szCs w:val="24"/>
                <w:highlight w:val="none"/>
              </w:rPr>
            </w:pPr>
            <w:r>
              <w:rPr>
                <w:rFonts w:hint="eastAsia" w:hAnsi="宋体"/>
                <w:b/>
                <w:color w:val="auto"/>
                <w:sz w:val="24"/>
                <w:szCs w:val="24"/>
                <w:highlight w:val="none"/>
              </w:rPr>
              <w:t>注：提供以上（1）至（5）项车辆的证明材料（自有的提供车辆行驶证、有效期内车辆保险；租赁的提供租赁合同、租赁费发票、车辆行驶证、有效期内车辆保险，车辆不重复计分，车辆吨位以行驶证为准）并加盖投标人公章；（6）自有的提供购置发票并加盖投标人公章，租赁的提供租赁合同及租赁发票并加盖投标人公章，不提供不得分。</w:t>
            </w:r>
          </w:p>
        </w:tc>
        <w:tc>
          <w:tcPr>
            <w:tcW w:w="396" w:type="pct"/>
            <w:tcBorders>
              <w:top w:val="single" w:color="auto" w:sz="4" w:space="0"/>
              <w:left w:val="single" w:color="auto" w:sz="4" w:space="0"/>
              <w:bottom w:val="single" w:color="auto" w:sz="4" w:space="0"/>
              <w:right w:val="single" w:color="auto" w:sz="4" w:space="0"/>
            </w:tcBorders>
            <w:vAlign w:val="center"/>
          </w:tcPr>
          <w:p w14:paraId="5BF973B7">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1</w:t>
            </w:r>
            <w:r>
              <w:rPr>
                <w:rFonts w:cs="Times New Roman" w:asciiTheme="minorEastAsia" w:hAnsiTheme="minorEastAsia" w:eastAsiaTheme="minorEastAsia"/>
                <w:color w:val="auto"/>
                <w:kern w:val="2"/>
                <w:sz w:val="24"/>
                <w:szCs w:val="24"/>
                <w:highlight w:val="none"/>
              </w:rPr>
              <w:t>6</w:t>
            </w:r>
          </w:p>
        </w:tc>
      </w:tr>
      <w:tr w14:paraId="24CD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093BCA00">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8</w:t>
            </w:r>
          </w:p>
        </w:tc>
        <w:tc>
          <w:tcPr>
            <w:tcW w:w="690" w:type="pct"/>
            <w:vAlign w:val="center"/>
          </w:tcPr>
          <w:p w14:paraId="282C5F52">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hAnsi="宋体" w:cs="Times New Roman"/>
                <w:color w:val="auto"/>
                <w:kern w:val="2"/>
                <w:sz w:val="24"/>
                <w:szCs w:val="24"/>
                <w:highlight w:val="none"/>
              </w:rPr>
              <w:t>垃圾处置</w:t>
            </w:r>
          </w:p>
        </w:tc>
        <w:tc>
          <w:tcPr>
            <w:tcW w:w="3533" w:type="pct"/>
            <w:tcBorders>
              <w:top w:val="single" w:color="auto" w:sz="4" w:space="0"/>
              <w:left w:val="single" w:color="auto" w:sz="4" w:space="0"/>
              <w:bottom w:val="single" w:color="auto" w:sz="4" w:space="0"/>
              <w:right w:val="single" w:color="auto" w:sz="4" w:space="0"/>
            </w:tcBorders>
            <w:vAlign w:val="center"/>
          </w:tcPr>
          <w:p w14:paraId="5F59FD4F">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为提高垃圾驳运处置效率，投标人具有垃圾卸料点或转运站或处置终端（设备），每提供一个卸料点或转运站或处置终端（设备）的证明材料得2分，最高得4分。</w:t>
            </w:r>
          </w:p>
        </w:tc>
        <w:tc>
          <w:tcPr>
            <w:tcW w:w="396" w:type="pct"/>
            <w:tcBorders>
              <w:top w:val="single" w:color="auto" w:sz="4" w:space="0"/>
              <w:left w:val="single" w:color="auto" w:sz="4" w:space="0"/>
              <w:bottom w:val="single" w:color="auto" w:sz="4" w:space="0"/>
              <w:right w:val="single" w:color="auto" w:sz="4" w:space="0"/>
            </w:tcBorders>
            <w:vAlign w:val="center"/>
          </w:tcPr>
          <w:p w14:paraId="04B71A6D">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cs="Times New Roman" w:asciiTheme="minorEastAsia" w:hAnsiTheme="minorEastAsia" w:eastAsiaTheme="minorEastAsia"/>
                <w:color w:val="auto"/>
                <w:kern w:val="2"/>
                <w:sz w:val="24"/>
                <w:szCs w:val="24"/>
                <w:highlight w:val="none"/>
              </w:rPr>
              <w:t>4</w:t>
            </w:r>
          </w:p>
        </w:tc>
      </w:tr>
      <w:tr w14:paraId="76EEF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0A2F30AE">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9</w:t>
            </w:r>
          </w:p>
        </w:tc>
        <w:tc>
          <w:tcPr>
            <w:tcW w:w="690" w:type="pct"/>
            <w:vAlign w:val="center"/>
          </w:tcPr>
          <w:p w14:paraId="320FA353">
            <w:pPr>
              <w:adjustRightInd w:val="0"/>
              <w:snapToGrid w:val="0"/>
              <w:spacing w:line="360" w:lineRule="auto"/>
              <w:jc w:val="center"/>
              <w:rPr>
                <w:rFonts w:hAnsi="宋体" w:cs="Times New Roman"/>
                <w:color w:val="auto"/>
                <w:kern w:val="2"/>
                <w:sz w:val="24"/>
                <w:szCs w:val="24"/>
                <w:highlight w:val="none"/>
              </w:rPr>
            </w:pPr>
            <w:r>
              <w:rPr>
                <w:rFonts w:hint="eastAsia" w:hAnsi="宋体" w:cs="Times New Roman"/>
                <w:color w:val="auto"/>
                <w:kern w:val="2"/>
                <w:sz w:val="24"/>
                <w:szCs w:val="24"/>
                <w:highlight w:val="none"/>
              </w:rPr>
              <w:t>办公场所</w:t>
            </w:r>
          </w:p>
        </w:tc>
        <w:tc>
          <w:tcPr>
            <w:tcW w:w="3533" w:type="pct"/>
            <w:tcBorders>
              <w:top w:val="single" w:color="auto" w:sz="4" w:space="0"/>
              <w:left w:val="single" w:color="auto" w:sz="4" w:space="0"/>
              <w:bottom w:val="single" w:color="auto" w:sz="4" w:space="0"/>
              <w:right w:val="single" w:color="auto" w:sz="4" w:space="0"/>
            </w:tcBorders>
            <w:vAlign w:val="center"/>
          </w:tcPr>
          <w:p w14:paraId="1B75FE41">
            <w:pPr>
              <w:spacing w:line="360" w:lineRule="auto"/>
              <w:rPr>
                <w:rFonts w:asciiTheme="minorEastAsia" w:hAnsiTheme="minorEastAsia" w:eastAsiaTheme="minorEastAsia"/>
                <w:strike/>
                <w:color w:val="auto"/>
                <w:sz w:val="24"/>
                <w:szCs w:val="24"/>
                <w:highlight w:val="none"/>
              </w:rPr>
            </w:pPr>
            <w:r>
              <w:rPr>
                <w:rFonts w:hint="eastAsia" w:asciiTheme="minorEastAsia" w:hAnsiTheme="minorEastAsia" w:eastAsiaTheme="minorEastAsia"/>
                <w:color w:val="auto"/>
                <w:sz w:val="24"/>
                <w:szCs w:val="24"/>
                <w:highlight w:val="none"/>
              </w:rPr>
              <w:t>投标人在太仓市区（市区范围指西至204国道,北至339省道,东至白云渡路,南至健雄路。两侧沿街商铺、商务办公楼计入市区范围）已有固定办公场所或承诺中标后在太仓市区范围设置办公场所（可租赁）的得</w:t>
            </w:r>
            <w:r>
              <w:rPr>
                <w:rFonts w:asciiTheme="minorEastAsia" w:hAnsiTheme="minorEastAsia" w:eastAsiaTheme="minorEastAsia"/>
                <w:color w:val="auto"/>
                <w:sz w:val="24"/>
                <w:szCs w:val="24"/>
                <w:highlight w:val="none"/>
              </w:rPr>
              <w:t>1</w:t>
            </w:r>
            <w:r>
              <w:rPr>
                <w:rFonts w:hint="eastAsia" w:asciiTheme="minorEastAsia" w:hAnsiTheme="minorEastAsia" w:eastAsiaTheme="minorEastAsia"/>
                <w:color w:val="auto"/>
                <w:sz w:val="24"/>
                <w:szCs w:val="24"/>
                <w:highlight w:val="none"/>
              </w:rPr>
              <w:t>分。</w:t>
            </w:r>
            <w:r>
              <w:rPr>
                <w:rFonts w:hint="eastAsia" w:asciiTheme="minorEastAsia" w:hAnsiTheme="minorEastAsia" w:eastAsiaTheme="minorEastAsia"/>
                <w:b/>
                <w:color w:val="auto"/>
                <w:sz w:val="24"/>
                <w:szCs w:val="24"/>
                <w:highlight w:val="none"/>
              </w:rPr>
              <w:t>（提供书面承诺并加盖投标人公章，否则不得分。）</w:t>
            </w:r>
          </w:p>
        </w:tc>
        <w:tc>
          <w:tcPr>
            <w:tcW w:w="396" w:type="pct"/>
            <w:tcBorders>
              <w:top w:val="single" w:color="auto" w:sz="4" w:space="0"/>
              <w:left w:val="single" w:color="auto" w:sz="4" w:space="0"/>
              <w:bottom w:val="single" w:color="auto" w:sz="4" w:space="0"/>
              <w:right w:val="single" w:color="auto" w:sz="4" w:space="0"/>
            </w:tcBorders>
            <w:vAlign w:val="center"/>
          </w:tcPr>
          <w:p w14:paraId="5FB4390A">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cs="Times New Roman" w:asciiTheme="minorEastAsia" w:hAnsiTheme="minorEastAsia" w:eastAsiaTheme="minorEastAsia"/>
                <w:color w:val="auto"/>
                <w:kern w:val="2"/>
                <w:sz w:val="24"/>
                <w:szCs w:val="24"/>
                <w:highlight w:val="none"/>
              </w:rPr>
              <w:t>1</w:t>
            </w:r>
          </w:p>
        </w:tc>
      </w:tr>
      <w:tr w14:paraId="11FF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381" w:type="pct"/>
            <w:tcBorders>
              <w:top w:val="single" w:color="auto" w:sz="4" w:space="0"/>
              <w:left w:val="single" w:color="auto" w:sz="4" w:space="0"/>
              <w:bottom w:val="single" w:color="auto" w:sz="4" w:space="0"/>
              <w:right w:val="single" w:color="auto" w:sz="4" w:space="0"/>
            </w:tcBorders>
            <w:vAlign w:val="center"/>
          </w:tcPr>
          <w:p w14:paraId="5B989B32">
            <w:pPr>
              <w:adjustRightInd w:val="0"/>
              <w:snapToGrid w:val="0"/>
              <w:spacing w:line="360" w:lineRule="auto"/>
              <w:jc w:val="center"/>
              <w:rPr>
                <w:rFonts w:cs="Times New Roman" w:asciiTheme="minorEastAsia" w:hAnsiTheme="minorEastAsia" w:eastAsiaTheme="minorEastAsia"/>
                <w:color w:val="auto"/>
                <w:kern w:val="2"/>
                <w:sz w:val="24"/>
                <w:szCs w:val="24"/>
                <w:highlight w:val="none"/>
              </w:rPr>
            </w:pPr>
            <w:r>
              <w:rPr>
                <w:rFonts w:hint="eastAsia" w:cs="Times New Roman" w:asciiTheme="minorEastAsia" w:hAnsiTheme="minorEastAsia" w:eastAsiaTheme="minorEastAsia"/>
                <w:color w:val="auto"/>
                <w:kern w:val="2"/>
                <w:sz w:val="24"/>
                <w:szCs w:val="24"/>
                <w:highlight w:val="none"/>
              </w:rPr>
              <w:t>10</w:t>
            </w:r>
          </w:p>
        </w:tc>
        <w:tc>
          <w:tcPr>
            <w:tcW w:w="690" w:type="pct"/>
            <w:vAlign w:val="center"/>
          </w:tcPr>
          <w:p w14:paraId="37F588C8">
            <w:pPr>
              <w:spacing w:line="360" w:lineRule="auto"/>
              <w:jc w:val="center"/>
              <w:rPr>
                <w:rFonts w:hAnsi="宋体" w:cs="Times New Roman"/>
                <w:color w:val="auto"/>
                <w:kern w:val="2"/>
                <w:sz w:val="24"/>
                <w:szCs w:val="24"/>
                <w:highlight w:val="none"/>
              </w:rPr>
            </w:pPr>
            <w:r>
              <w:rPr>
                <w:rFonts w:hint="eastAsia" w:hAnsi="宋体" w:cs="Times New Roman"/>
                <w:color w:val="auto"/>
                <w:kern w:val="2"/>
                <w:sz w:val="24"/>
                <w:szCs w:val="24"/>
                <w:highlight w:val="none"/>
              </w:rPr>
              <w:t>类似业绩</w:t>
            </w:r>
          </w:p>
        </w:tc>
        <w:tc>
          <w:tcPr>
            <w:tcW w:w="3533" w:type="pct"/>
            <w:tcBorders>
              <w:top w:val="single" w:color="auto" w:sz="4" w:space="0"/>
              <w:left w:val="single" w:color="auto" w:sz="4" w:space="0"/>
              <w:bottom w:val="single" w:color="auto" w:sz="4" w:space="0"/>
              <w:right w:val="single" w:color="auto" w:sz="4" w:space="0"/>
            </w:tcBorders>
          </w:tcPr>
          <w:p w14:paraId="45B2E511">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投标单位202</w:t>
            </w:r>
            <w:r>
              <w:rPr>
                <w:rFonts w:asciiTheme="minorEastAsia" w:hAnsiTheme="minorEastAsia" w:eastAsiaTheme="minorEastAsia"/>
                <w:color w:val="auto"/>
                <w:sz w:val="24"/>
                <w:szCs w:val="24"/>
                <w:highlight w:val="none"/>
              </w:rPr>
              <w:t>3</w:t>
            </w:r>
            <w:r>
              <w:rPr>
                <w:rFonts w:hint="eastAsia" w:asciiTheme="minorEastAsia" w:hAnsiTheme="minorEastAsia" w:eastAsiaTheme="minorEastAsia"/>
                <w:color w:val="auto"/>
                <w:sz w:val="24"/>
                <w:szCs w:val="24"/>
                <w:highlight w:val="none"/>
              </w:rPr>
              <w:t>年</w:t>
            </w: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月1日至今承担过道路或公路养护（或保洁）服务，每个业绩得2分，满分</w:t>
            </w:r>
            <w:r>
              <w:rPr>
                <w:rFonts w:asciiTheme="minorEastAsia" w:hAnsiTheme="minorEastAsia" w:eastAsiaTheme="minorEastAsia"/>
                <w:color w:val="auto"/>
                <w:sz w:val="24"/>
                <w:szCs w:val="24"/>
                <w:highlight w:val="none"/>
              </w:rPr>
              <w:t>8</w:t>
            </w:r>
            <w:r>
              <w:rPr>
                <w:rFonts w:hint="eastAsia" w:asciiTheme="minorEastAsia" w:hAnsiTheme="minorEastAsia" w:eastAsiaTheme="minorEastAsia"/>
                <w:color w:val="auto"/>
                <w:sz w:val="24"/>
                <w:szCs w:val="24"/>
                <w:highlight w:val="none"/>
              </w:rPr>
              <w:t>分。</w:t>
            </w:r>
            <w:r>
              <w:rPr>
                <w:rFonts w:hint="eastAsia" w:asciiTheme="minorEastAsia" w:hAnsiTheme="minorEastAsia" w:eastAsiaTheme="minorEastAsia"/>
                <w:b/>
                <w:color w:val="auto"/>
                <w:sz w:val="24"/>
                <w:szCs w:val="24"/>
                <w:highlight w:val="none"/>
              </w:rPr>
              <w:t>（提供有甲乙双方签章的业绩合同，否则不得分。）</w:t>
            </w:r>
          </w:p>
        </w:tc>
        <w:tc>
          <w:tcPr>
            <w:tcW w:w="396" w:type="pct"/>
            <w:tcBorders>
              <w:top w:val="single" w:color="auto" w:sz="4" w:space="0"/>
              <w:left w:val="single" w:color="auto" w:sz="4" w:space="0"/>
              <w:bottom w:val="single" w:color="auto" w:sz="4" w:space="0"/>
              <w:right w:val="single" w:color="auto" w:sz="4" w:space="0"/>
            </w:tcBorders>
            <w:vAlign w:val="center"/>
          </w:tcPr>
          <w:p w14:paraId="6EAB1DF8">
            <w:pPr>
              <w:spacing w:line="360" w:lineRule="auto"/>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8</w:t>
            </w:r>
          </w:p>
        </w:tc>
      </w:tr>
      <w:bookmarkEnd w:id="23"/>
    </w:tbl>
    <w:p w14:paraId="0C5822D3">
      <w:pPr>
        <w:spacing w:line="360" w:lineRule="auto"/>
        <w:ind w:firstLine="422"/>
        <w:rPr>
          <w:rFonts w:hAnsi="宋体" w:cs="Times New Roman"/>
          <w:b/>
          <w:color w:val="auto"/>
          <w:sz w:val="24"/>
          <w:szCs w:val="24"/>
          <w:highlight w:val="none"/>
        </w:rPr>
      </w:pPr>
    </w:p>
    <w:p w14:paraId="7BE4BDBC">
      <w:pPr>
        <w:spacing w:line="360" w:lineRule="auto"/>
        <w:ind w:firstLine="422"/>
        <w:rPr>
          <w:rFonts w:hAnsi="宋体"/>
          <w:b/>
          <w:color w:val="auto"/>
          <w:sz w:val="24"/>
          <w:szCs w:val="24"/>
          <w:highlight w:val="none"/>
        </w:rPr>
      </w:pPr>
      <w:r>
        <w:rPr>
          <w:rFonts w:hint="eastAsia" w:hAnsi="宋体"/>
          <w:b/>
          <w:color w:val="auto"/>
          <w:sz w:val="24"/>
          <w:szCs w:val="24"/>
          <w:highlight w:val="none"/>
        </w:rPr>
        <w:t>备注：</w:t>
      </w:r>
    </w:p>
    <w:p w14:paraId="72216454">
      <w:pPr>
        <w:spacing w:line="360" w:lineRule="auto"/>
        <w:ind w:firstLine="420"/>
        <w:rPr>
          <w:rFonts w:hAnsi="宋体"/>
          <w:bCs/>
          <w:color w:val="auto"/>
          <w:sz w:val="24"/>
          <w:szCs w:val="24"/>
          <w:highlight w:val="none"/>
        </w:rPr>
      </w:pPr>
      <w:r>
        <w:rPr>
          <w:rFonts w:hint="eastAsia" w:hAnsi="宋体"/>
          <w:bCs/>
          <w:color w:val="auto"/>
          <w:sz w:val="24"/>
          <w:szCs w:val="24"/>
          <w:highlight w:val="none"/>
        </w:rPr>
        <w:t>1、针对评分标准中评分的每一条，投标人均应提供相关资料并作出相应说明供评委评判，</w:t>
      </w:r>
      <w:r>
        <w:rPr>
          <w:rFonts w:hint="eastAsia" w:hAnsi="宋体"/>
          <w:b/>
          <w:bCs/>
          <w:color w:val="auto"/>
          <w:sz w:val="24"/>
          <w:szCs w:val="24"/>
          <w:highlight w:val="none"/>
        </w:rPr>
        <w:t>证明材料的原件扫描件或复印件应加盖投标人公章扫描（或电子签章）后上传，</w:t>
      </w:r>
      <w:r>
        <w:rPr>
          <w:rFonts w:hint="eastAsia" w:hAnsi="宋体"/>
          <w:bCs/>
          <w:color w:val="auto"/>
          <w:sz w:val="24"/>
          <w:szCs w:val="24"/>
          <w:highlight w:val="none"/>
        </w:rPr>
        <w:t xml:space="preserve">不提供相关资料的视为不具备该项得分的条件。 </w:t>
      </w:r>
    </w:p>
    <w:p w14:paraId="6BBAA753">
      <w:pPr>
        <w:spacing w:line="360" w:lineRule="auto"/>
        <w:ind w:firstLine="420"/>
        <w:rPr>
          <w:rFonts w:hAnsi="宋体"/>
          <w:bCs/>
          <w:color w:val="auto"/>
          <w:sz w:val="24"/>
          <w:szCs w:val="24"/>
          <w:highlight w:val="none"/>
        </w:rPr>
      </w:pPr>
      <w:r>
        <w:rPr>
          <w:rFonts w:hint="eastAsia" w:hAnsi="宋体"/>
          <w:bCs/>
          <w:color w:val="auto"/>
          <w:sz w:val="24"/>
          <w:szCs w:val="24"/>
          <w:highlight w:val="none"/>
        </w:rPr>
        <w:t>2、投标报价超过预算金额及限价的，为无效标。</w:t>
      </w:r>
    </w:p>
    <w:p w14:paraId="242A52F4">
      <w:pPr>
        <w:spacing w:line="360" w:lineRule="auto"/>
        <w:ind w:firstLine="420"/>
        <w:rPr>
          <w:rFonts w:hAnsi="宋体"/>
          <w:bCs/>
          <w:color w:val="auto"/>
          <w:sz w:val="24"/>
          <w:szCs w:val="24"/>
          <w:highlight w:val="none"/>
        </w:rPr>
      </w:pPr>
      <w:r>
        <w:rPr>
          <w:rFonts w:hAnsi="宋体"/>
          <w:bCs/>
          <w:color w:val="auto"/>
          <w:sz w:val="24"/>
          <w:szCs w:val="24"/>
          <w:highlight w:val="none"/>
        </w:rPr>
        <w:t>3</w:t>
      </w:r>
      <w:r>
        <w:rPr>
          <w:rFonts w:hint="eastAsia" w:hAnsi="宋体"/>
          <w:bCs/>
          <w:color w:val="auto"/>
          <w:sz w:val="24"/>
          <w:szCs w:val="24"/>
          <w:highlight w:val="none"/>
        </w:rPr>
        <w:t>、所有证明材料字迹须清晰可见，字迹不清晰或扫描不全，视为未提供，影响评分情况，是投标人的责任。</w:t>
      </w:r>
    </w:p>
    <w:p w14:paraId="4D7D7923">
      <w:pPr>
        <w:spacing w:line="360" w:lineRule="auto"/>
        <w:ind w:firstLine="420"/>
        <w:rPr>
          <w:rFonts w:hAnsi="宋体"/>
          <w:bCs/>
          <w:color w:val="auto"/>
          <w:sz w:val="21"/>
          <w:szCs w:val="21"/>
          <w:highlight w:val="none"/>
        </w:rPr>
        <w:sectPr>
          <w:pgSz w:w="11906" w:h="16838"/>
          <w:pgMar w:top="1361" w:right="1304" w:bottom="1304" w:left="1361" w:header="851" w:footer="992" w:gutter="0"/>
          <w:cols w:space="720" w:num="1"/>
          <w:docGrid w:linePitch="360" w:charSpace="0"/>
        </w:sectPr>
      </w:pPr>
    </w:p>
    <w:p w14:paraId="12A7369C">
      <w:pPr>
        <w:spacing w:line="360" w:lineRule="auto"/>
        <w:ind w:firstLine="420"/>
        <w:rPr>
          <w:rFonts w:hAnsi="宋体"/>
          <w:bCs/>
          <w:color w:val="auto"/>
          <w:sz w:val="21"/>
          <w:szCs w:val="21"/>
          <w:highlight w:val="none"/>
        </w:rPr>
      </w:pPr>
    </w:p>
    <w:p w14:paraId="32DE039C">
      <w:pPr>
        <w:jc w:val="center"/>
        <w:outlineLvl w:val="0"/>
        <w:rPr>
          <w:rFonts w:hAnsi="宋体"/>
          <w:b/>
          <w:bCs/>
          <w:color w:val="auto"/>
          <w:sz w:val="32"/>
          <w:szCs w:val="32"/>
          <w:highlight w:val="none"/>
        </w:rPr>
      </w:pPr>
      <w:bookmarkStart w:id="27" w:name="_Toc159507039"/>
      <w:r>
        <w:rPr>
          <w:rFonts w:hint="eastAsia" w:hAnsi="宋体"/>
          <w:b/>
          <w:bCs/>
          <w:color w:val="auto"/>
          <w:sz w:val="32"/>
          <w:szCs w:val="32"/>
          <w:highlight w:val="none"/>
        </w:rPr>
        <w:t>第五章投标文件格式</w:t>
      </w:r>
      <w:bookmarkEnd w:id="27"/>
    </w:p>
    <w:p w14:paraId="5DE681F6">
      <w:pPr>
        <w:pStyle w:val="16"/>
        <w:spacing w:before="0" w:line="360" w:lineRule="auto"/>
        <w:ind w:left="0"/>
        <w:jc w:val="both"/>
        <w:rPr>
          <w:rFonts w:hAnsi="宋体"/>
          <w:color w:val="auto"/>
          <w:sz w:val="21"/>
          <w:highlight w:val="none"/>
        </w:rPr>
      </w:pPr>
    </w:p>
    <w:p w14:paraId="6FBC5934">
      <w:pPr>
        <w:pStyle w:val="16"/>
        <w:spacing w:before="0" w:line="360" w:lineRule="auto"/>
        <w:ind w:left="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说明：</w:t>
      </w:r>
    </w:p>
    <w:p w14:paraId="03ECF7EA">
      <w:pPr>
        <w:pStyle w:val="16"/>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1、对本章所有的格式，供应商可根据自身情况进行补充和修改，但补充和修改不得造成与本格式内容有实质性的违背。</w:t>
      </w:r>
    </w:p>
    <w:p w14:paraId="5EA78CBC">
      <w:pPr>
        <w:pStyle w:val="16"/>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2、所附表格中要求回答的全部问题和信息都必须正面回答。</w:t>
      </w:r>
    </w:p>
    <w:p w14:paraId="4603B8A7">
      <w:pPr>
        <w:pStyle w:val="16"/>
        <w:spacing w:before="0" w:line="360" w:lineRule="auto"/>
        <w:ind w:left="0" w:firstLine="440"/>
        <w:jc w:val="both"/>
        <w:rPr>
          <w:rFonts w:hAnsi="宋体" w:cs="宋体"/>
          <w:color w:val="auto"/>
          <w:sz w:val="22"/>
          <w:highlight w:val="none"/>
          <w:shd w:val="clear" w:color="auto" w:fill="FFFFFF"/>
        </w:rPr>
      </w:pPr>
      <w:r>
        <w:rPr>
          <w:rFonts w:hint="eastAsia" w:hAnsi="宋体" w:cs="宋体"/>
          <w:color w:val="auto"/>
          <w:sz w:val="22"/>
          <w:highlight w:val="none"/>
          <w:shd w:val="clear" w:color="auto" w:fill="FFFFFF"/>
        </w:rPr>
        <w:t>3、本资格声明的签字人应保证全部声明和问题的回答是真实的和准确的。</w:t>
      </w:r>
    </w:p>
    <w:p w14:paraId="7497FF02">
      <w:pPr>
        <w:pStyle w:val="16"/>
        <w:spacing w:before="0" w:line="360" w:lineRule="auto"/>
        <w:ind w:left="0" w:firstLine="440"/>
        <w:jc w:val="both"/>
        <w:rPr>
          <w:rFonts w:hAnsi="宋体" w:cs="宋体"/>
          <w:color w:val="auto"/>
          <w:sz w:val="22"/>
          <w:highlight w:val="none"/>
          <w:shd w:val="clear" w:color="auto" w:fill="FFFFFF"/>
        </w:rPr>
      </w:pPr>
      <w:r>
        <w:rPr>
          <w:rFonts w:hAnsi="宋体" w:cs="宋体"/>
          <w:color w:val="auto"/>
          <w:sz w:val="22"/>
          <w:highlight w:val="none"/>
          <w:shd w:val="clear" w:color="auto" w:fill="FFFFFF"/>
        </w:rPr>
        <w:t>4</w:t>
      </w:r>
      <w:r>
        <w:rPr>
          <w:rFonts w:hint="eastAsia" w:hAnsi="宋体" w:cs="宋体"/>
          <w:color w:val="auto"/>
          <w:sz w:val="22"/>
          <w:highlight w:val="none"/>
          <w:shd w:val="clear" w:color="auto" w:fill="FFFFFF"/>
        </w:rPr>
        <w:t>、投标人提交的材料将被保密保存，但不退还。</w:t>
      </w:r>
    </w:p>
    <w:p w14:paraId="07D38E27">
      <w:pPr>
        <w:pStyle w:val="16"/>
        <w:spacing w:before="0" w:line="360" w:lineRule="auto"/>
        <w:ind w:left="0" w:firstLine="440"/>
        <w:jc w:val="both"/>
        <w:rPr>
          <w:rFonts w:hAnsi="宋体" w:cs="宋体"/>
          <w:color w:val="auto"/>
          <w:sz w:val="22"/>
          <w:highlight w:val="none"/>
          <w:shd w:val="clear" w:color="auto" w:fill="FFFFFF"/>
        </w:rPr>
      </w:pPr>
      <w:r>
        <w:rPr>
          <w:rFonts w:hAnsi="宋体" w:cs="宋体"/>
          <w:color w:val="auto"/>
          <w:sz w:val="22"/>
          <w:highlight w:val="none"/>
          <w:shd w:val="clear" w:color="auto" w:fill="FFFFFF"/>
        </w:rPr>
        <w:t>5</w:t>
      </w:r>
      <w:r>
        <w:rPr>
          <w:rFonts w:hint="eastAsia" w:hAnsi="宋体" w:cs="宋体"/>
          <w:color w:val="auto"/>
          <w:sz w:val="22"/>
          <w:highlight w:val="none"/>
          <w:shd w:val="clear" w:color="auto" w:fill="FFFFFF"/>
        </w:rPr>
        <w:t>、全部文件应按投标人须知中规定的语言和份数提交。</w:t>
      </w:r>
    </w:p>
    <w:p w14:paraId="63B48E99">
      <w:pPr>
        <w:pStyle w:val="16"/>
        <w:spacing w:before="0" w:line="360" w:lineRule="auto"/>
        <w:ind w:left="0"/>
        <w:jc w:val="both"/>
        <w:rPr>
          <w:rFonts w:hAnsi="宋体"/>
          <w:color w:val="auto"/>
          <w:sz w:val="21"/>
          <w:highlight w:val="none"/>
        </w:rPr>
        <w:sectPr>
          <w:pgSz w:w="11906" w:h="16838"/>
          <w:pgMar w:top="1361" w:right="1304" w:bottom="1304" w:left="1361" w:header="851" w:footer="992" w:gutter="0"/>
          <w:cols w:space="720" w:num="1"/>
          <w:docGrid w:linePitch="360" w:charSpace="0"/>
        </w:sectPr>
      </w:pPr>
    </w:p>
    <w:p w14:paraId="331D8B16">
      <w:pPr>
        <w:pStyle w:val="16"/>
        <w:spacing w:before="0" w:line="360" w:lineRule="auto"/>
        <w:ind w:left="0"/>
        <w:jc w:val="both"/>
        <w:rPr>
          <w:rFonts w:hAnsi="宋体"/>
          <w:color w:val="auto"/>
          <w:sz w:val="21"/>
          <w:highlight w:val="none"/>
        </w:rPr>
      </w:pPr>
    </w:p>
    <w:p w14:paraId="318DB26B">
      <w:pPr>
        <w:pStyle w:val="16"/>
        <w:spacing w:before="0" w:line="360" w:lineRule="auto"/>
        <w:ind w:left="0"/>
        <w:jc w:val="both"/>
        <w:rPr>
          <w:rFonts w:hAnsi="宋体"/>
          <w:b/>
          <w:bCs/>
          <w:color w:val="auto"/>
          <w:sz w:val="44"/>
          <w:szCs w:val="44"/>
          <w:highlight w:val="none"/>
        </w:rPr>
      </w:pPr>
      <w:bookmarkStart w:id="28" w:name="_Toc430265233"/>
      <w:bookmarkStart w:id="29" w:name="_Toc467507044"/>
      <w:bookmarkStart w:id="30" w:name="_Toc467507054"/>
      <w:bookmarkStart w:id="31" w:name="_Toc322442932"/>
      <w:bookmarkStart w:id="32" w:name="_Toc405288080"/>
      <w:r>
        <w:rPr>
          <w:rFonts w:hint="eastAsia" w:hAnsi="宋体"/>
          <w:b/>
          <w:bCs/>
          <w:color w:val="auto"/>
          <w:sz w:val="32"/>
          <w:szCs w:val="32"/>
          <w:highlight w:val="none"/>
        </w:rPr>
        <w:t>封面：</w:t>
      </w:r>
    </w:p>
    <w:p w14:paraId="2204D71D">
      <w:pPr>
        <w:pStyle w:val="16"/>
        <w:spacing w:before="0" w:line="360" w:lineRule="auto"/>
        <w:ind w:left="0"/>
        <w:jc w:val="both"/>
        <w:rPr>
          <w:rFonts w:hAnsi="宋体"/>
          <w:color w:val="auto"/>
          <w:sz w:val="21"/>
          <w:highlight w:val="none"/>
        </w:rPr>
      </w:pPr>
    </w:p>
    <w:p w14:paraId="33D15FD5">
      <w:pPr>
        <w:pStyle w:val="16"/>
        <w:spacing w:before="0" w:line="360" w:lineRule="auto"/>
        <w:ind w:left="0"/>
        <w:jc w:val="both"/>
        <w:rPr>
          <w:rFonts w:hAnsi="宋体"/>
          <w:color w:val="auto"/>
          <w:sz w:val="21"/>
          <w:highlight w:val="none"/>
        </w:rPr>
      </w:pPr>
    </w:p>
    <w:p w14:paraId="44C6FD6B">
      <w:pPr>
        <w:pStyle w:val="16"/>
        <w:spacing w:before="0" w:line="360" w:lineRule="auto"/>
        <w:ind w:left="0"/>
        <w:jc w:val="both"/>
        <w:rPr>
          <w:rFonts w:hAnsi="宋体"/>
          <w:color w:val="auto"/>
          <w:sz w:val="21"/>
          <w:highlight w:val="none"/>
        </w:rPr>
      </w:pPr>
    </w:p>
    <w:p w14:paraId="2E00EA7D">
      <w:pPr>
        <w:pStyle w:val="16"/>
        <w:spacing w:before="0" w:line="360" w:lineRule="auto"/>
        <w:ind w:left="0"/>
        <w:jc w:val="both"/>
        <w:rPr>
          <w:rFonts w:hAnsi="宋体"/>
          <w:color w:val="auto"/>
          <w:sz w:val="21"/>
          <w:highlight w:val="none"/>
        </w:rPr>
      </w:pPr>
    </w:p>
    <w:p w14:paraId="1BBF5EA2">
      <w:pPr>
        <w:pStyle w:val="16"/>
        <w:spacing w:before="0" w:line="360" w:lineRule="auto"/>
        <w:ind w:left="0"/>
        <w:jc w:val="center"/>
        <w:rPr>
          <w:rFonts w:hAnsi="宋体"/>
          <w:b/>
          <w:bCs/>
          <w:color w:val="auto"/>
          <w:sz w:val="72"/>
          <w:szCs w:val="72"/>
          <w:highlight w:val="none"/>
        </w:rPr>
      </w:pPr>
      <w:r>
        <w:rPr>
          <w:rFonts w:hint="eastAsia" w:hAnsi="宋体"/>
          <w:b/>
          <w:bCs/>
          <w:color w:val="auto"/>
          <w:sz w:val="72"/>
          <w:szCs w:val="72"/>
          <w:highlight w:val="none"/>
        </w:rPr>
        <w:t>投标文件</w:t>
      </w:r>
    </w:p>
    <w:p w14:paraId="5EB4CCD6">
      <w:pPr>
        <w:pStyle w:val="16"/>
        <w:spacing w:before="0" w:line="360" w:lineRule="auto"/>
        <w:ind w:left="0"/>
        <w:jc w:val="both"/>
        <w:rPr>
          <w:rFonts w:hAnsi="宋体"/>
          <w:color w:val="auto"/>
          <w:sz w:val="21"/>
          <w:highlight w:val="none"/>
        </w:rPr>
      </w:pPr>
    </w:p>
    <w:p w14:paraId="75746AF3">
      <w:pPr>
        <w:pStyle w:val="16"/>
        <w:spacing w:before="0" w:line="360" w:lineRule="auto"/>
        <w:ind w:left="0"/>
        <w:jc w:val="both"/>
        <w:rPr>
          <w:rFonts w:hAnsi="宋体"/>
          <w:color w:val="auto"/>
          <w:sz w:val="21"/>
          <w:highlight w:val="none"/>
        </w:rPr>
      </w:pPr>
    </w:p>
    <w:p w14:paraId="7A50FFC6">
      <w:pPr>
        <w:pStyle w:val="16"/>
        <w:spacing w:before="0" w:line="360" w:lineRule="auto"/>
        <w:ind w:left="0"/>
        <w:jc w:val="both"/>
        <w:rPr>
          <w:rFonts w:hAnsi="宋体"/>
          <w:color w:val="auto"/>
          <w:sz w:val="21"/>
          <w:highlight w:val="none"/>
        </w:rPr>
      </w:pPr>
    </w:p>
    <w:p w14:paraId="14E11EF4">
      <w:pPr>
        <w:pStyle w:val="16"/>
        <w:spacing w:before="0" w:line="360" w:lineRule="auto"/>
        <w:ind w:left="0"/>
        <w:jc w:val="both"/>
        <w:rPr>
          <w:rFonts w:hAnsi="宋体"/>
          <w:color w:val="auto"/>
          <w:sz w:val="21"/>
          <w:highlight w:val="none"/>
        </w:rPr>
      </w:pPr>
    </w:p>
    <w:p w14:paraId="1057A674">
      <w:pPr>
        <w:pStyle w:val="16"/>
        <w:spacing w:before="0" w:line="360" w:lineRule="auto"/>
        <w:ind w:left="0"/>
        <w:jc w:val="both"/>
        <w:rPr>
          <w:rFonts w:hAnsi="宋体"/>
          <w:b/>
          <w:bCs/>
          <w:color w:val="auto"/>
          <w:sz w:val="32"/>
          <w:szCs w:val="32"/>
          <w:highlight w:val="none"/>
        </w:rPr>
      </w:pPr>
      <w:r>
        <w:rPr>
          <w:rFonts w:hint="eastAsia" w:hAnsi="宋体"/>
          <w:b/>
          <w:bCs/>
          <w:color w:val="auto"/>
          <w:sz w:val="36"/>
          <w:szCs w:val="36"/>
          <w:highlight w:val="none"/>
        </w:rPr>
        <w:t>采购单位：</w:t>
      </w:r>
      <w:r>
        <w:rPr>
          <w:rFonts w:hint="eastAsia" w:hAnsi="宋体"/>
          <w:color w:val="auto"/>
          <w:sz w:val="32"/>
          <w:szCs w:val="32"/>
          <w:highlight w:val="none"/>
        </w:rPr>
        <w:t>太仓市交通运输局</w:t>
      </w:r>
    </w:p>
    <w:p w14:paraId="76D6E203">
      <w:pPr>
        <w:pStyle w:val="16"/>
        <w:spacing w:before="0" w:line="360" w:lineRule="auto"/>
        <w:ind w:left="0"/>
        <w:jc w:val="both"/>
        <w:rPr>
          <w:rFonts w:hAnsi="宋体"/>
          <w:b/>
          <w:bCs/>
          <w:color w:val="auto"/>
          <w:sz w:val="36"/>
          <w:szCs w:val="36"/>
          <w:highlight w:val="none"/>
        </w:rPr>
      </w:pPr>
      <w:r>
        <w:rPr>
          <w:rFonts w:hint="eastAsia" w:hAnsi="宋体"/>
          <w:b/>
          <w:bCs/>
          <w:color w:val="auto"/>
          <w:sz w:val="36"/>
          <w:szCs w:val="36"/>
          <w:highlight w:val="none"/>
        </w:rPr>
        <w:t>项目名称：</w:t>
      </w:r>
      <w:r>
        <w:rPr>
          <w:rFonts w:hint="eastAsia" w:hAnsi="宋体"/>
          <w:color w:val="auto"/>
          <w:sz w:val="32"/>
          <w:szCs w:val="32"/>
          <w:highlight w:val="none"/>
        </w:rPr>
        <w:t>太仓市公路保洁及应急处置项目</w:t>
      </w:r>
    </w:p>
    <w:p w14:paraId="621BB828">
      <w:pPr>
        <w:pStyle w:val="16"/>
        <w:spacing w:before="0" w:line="360" w:lineRule="auto"/>
        <w:ind w:left="0"/>
        <w:jc w:val="both"/>
        <w:rPr>
          <w:rFonts w:hAnsi="宋体"/>
          <w:color w:val="auto"/>
          <w:sz w:val="32"/>
          <w:szCs w:val="32"/>
          <w:highlight w:val="none"/>
        </w:rPr>
      </w:pPr>
      <w:r>
        <w:rPr>
          <w:rFonts w:hint="eastAsia" w:hAnsi="宋体"/>
          <w:b/>
          <w:bCs/>
          <w:color w:val="auto"/>
          <w:sz w:val="36"/>
          <w:szCs w:val="36"/>
          <w:highlight w:val="none"/>
        </w:rPr>
        <w:t>项目编号：</w:t>
      </w:r>
      <w:r>
        <w:rPr>
          <w:rFonts w:hAnsi="宋体"/>
          <w:color w:val="auto"/>
          <w:sz w:val="32"/>
          <w:szCs w:val="32"/>
          <w:highlight w:val="none"/>
        </w:rPr>
        <w:t>JSZC-320585-TCAX-G2026-0007</w:t>
      </w:r>
    </w:p>
    <w:p w14:paraId="74E925EC">
      <w:pPr>
        <w:pStyle w:val="16"/>
        <w:spacing w:before="0" w:line="360" w:lineRule="auto"/>
        <w:ind w:left="0"/>
        <w:jc w:val="both"/>
        <w:rPr>
          <w:rFonts w:hAnsi="宋体"/>
          <w:color w:val="auto"/>
          <w:sz w:val="21"/>
          <w:highlight w:val="none"/>
        </w:rPr>
      </w:pPr>
    </w:p>
    <w:p w14:paraId="57ACBA67">
      <w:pPr>
        <w:pStyle w:val="16"/>
        <w:spacing w:before="0" w:line="360" w:lineRule="auto"/>
        <w:ind w:left="0"/>
        <w:jc w:val="both"/>
        <w:rPr>
          <w:rFonts w:hAnsi="宋体"/>
          <w:color w:val="auto"/>
          <w:sz w:val="21"/>
          <w:highlight w:val="none"/>
        </w:rPr>
      </w:pPr>
    </w:p>
    <w:p w14:paraId="442D1A13">
      <w:pPr>
        <w:pStyle w:val="16"/>
        <w:spacing w:before="0" w:line="360" w:lineRule="auto"/>
        <w:ind w:left="0"/>
        <w:jc w:val="both"/>
        <w:rPr>
          <w:rFonts w:hAnsi="宋体"/>
          <w:color w:val="auto"/>
          <w:sz w:val="21"/>
          <w:highlight w:val="none"/>
        </w:rPr>
      </w:pPr>
    </w:p>
    <w:p w14:paraId="3303E083">
      <w:pPr>
        <w:pStyle w:val="16"/>
        <w:spacing w:before="0" w:line="360" w:lineRule="auto"/>
        <w:ind w:left="0"/>
        <w:jc w:val="both"/>
        <w:rPr>
          <w:rFonts w:hAnsi="宋体"/>
          <w:color w:val="auto"/>
          <w:sz w:val="21"/>
          <w:highlight w:val="none"/>
        </w:rPr>
      </w:pPr>
    </w:p>
    <w:p w14:paraId="43A662DF">
      <w:pPr>
        <w:pStyle w:val="16"/>
        <w:spacing w:before="0" w:line="360" w:lineRule="auto"/>
        <w:ind w:left="0"/>
        <w:jc w:val="both"/>
        <w:rPr>
          <w:rFonts w:hAnsi="宋体"/>
          <w:color w:val="auto"/>
          <w:sz w:val="21"/>
          <w:highlight w:val="none"/>
        </w:rPr>
      </w:pPr>
    </w:p>
    <w:p w14:paraId="6887A060">
      <w:pPr>
        <w:pStyle w:val="16"/>
        <w:spacing w:before="0" w:line="360" w:lineRule="auto"/>
        <w:ind w:left="0"/>
        <w:jc w:val="both"/>
        <w:rPr>
          <w:rFonts w:hAnsi="宋体"/>
          <w:b/>
          <w:bCs/>
          <w:color w:val="auto"/>
          <w:sz w:val="36"/>
          <w:szCs w:val="36"/>
          <w:highlight w:val="none"/>
          <w:u w:val="single"/>
        </w:rPr>
      </w:pPr>
      <w:r>
        <w:rPr>
          <w:rFonts w:hint="eastAsia" w:hAnsi="宋体"/>
          <w:b/>
          <w:bCs/>
          <w:color w:val="auto"/>
          <w:sz w:val="36"/>
          <w:szCs w:val="36"/>
          <w:highlight w:val="none"/>
        </w:rPr>
        <w:t>投标人</w:t>
      </w:r>
      <w:r>
        <w:rPr>
          <w:rFonts w:hAnsi="宋体"/>
          <w:color w:val="auto"/>
          <w:sz w:val="24"/>
          <w:szCs w:val="24"/>
          <w:highlight w:val="none"/>
        </w:rPr>
        <w:t>(</w:t>
      </w:r>
      <w:r>
        <w:rPr>
          <w:rFonts w:hint="eastAsia" w:hAnsi="宋体"/>
          <w:color w:val="auto"/>
          <w:sz w:val="24"/>
          <w:szCs w:val="24"/>
          <w:highlight w:val="none"/>
        </w:rPr>
        <w:t>盖章</w:t>
      </w:r>
      <w:r>
        <w:rPr>
          <w:rFonts w:hAnsi="宋体"/>
          <w:color w:val="auto"/>
          <w:sz w:val="24"/>
          <w:szCs w:val="24"/>
          <w:highlight w:val="none"/>
        </w:rPr>
        <w:t>)</w:t>
      </w:r>
      <w:r>
        <w:rPr>
          <w:rFonts w:hint="eastAsia" w:hAnsi="宋体"/>
          <w:b/>
          <w:bCs/>
          <w:color w:val="auto"/>
          <w:sz w:val="36"/>
          <w:szCs w:val="36"/>
          <w:highlight w:val="none"/>
        </w:rPr>
        <w:t>：</w:t>
      </w:r>
    </w:p>
    <w:p w14:paraId="347BB271">
      <w:pPr>
        <w:pStyle w:val="16"/>
        <w:spacing w:before="0" w:line="360" w:lineRule="auto"/>
        <w:ind w:left="0"/>
        <w:jc w:val="both"/>
        <w:rPr>
          <w:rFonts w:hAnsi="宋体"/>
          <w:color w:val="auto"/>
          <w:sz w:val="32"/>
          <w:szCs w:val="32"/>
          <w:highlight w:val="none"/>
        </w:rPr>
      </w:pPr>
      <w:r>
        <w:rPr>
          <w:rFonts w:hint="eastAsia" w:hAnsi="宋体"/>
          <w:b/>
          <w:bCs/>
          <w:color w:val="auto"/>
          <w:spacing w:val="-3"/>
          <w:sz w:val="36"/>
          <w:szCs w:val="36"/>
          <w:highlight w:val="none"/>
        </w:rPr>
        <w:t>法定代表人或其委托代理人</w:t>
      </w:r>
      <w:r>
        <w:rPr>
          <w:rFonts w:hAnsi="宋体"/>
          <w:color w:val="auto"/>
          <w:sz w:val="24"/>
          <w:szCs w:val="24"/>
          <w:highlight w:val="none"/>
        </w:rPr>
        <w:t>(</w:t>
      </w:r>
      <w:r>
        <w:rPr>
          <w:rFonts w:hint="eastAsia" w:hAnsi="宋体"/>
          <w:color w:val="auto"/>
          <w:sz w:val="24"/>
          <w:szCs w:val="24"/>
          <w:highlight w:val="none"/>
        </w:rPr>
        <w:t>签字或盖章</w:t>
      </w:r>
      <w:r>
        <w:rPr>
          <w:rFonts w:hAnsi="宋体"/>
          <w:color w:val="auto"/>
          <w:sz w:val="24"/>
          <w:szCs w:val="24"/>
          <w:highlight w:val="none"/>
        </w:rPr>
        <w:t>)</w:t>
      </w:r>
      <w:r>
        <w:rPr>
          <w:rFonts w:hint="eastAsia" w:hAnsi="宋体"/>
          <w:b/>
          <w:bCs/>
          <w:color w:val="auto"/>
          <w:sz w:val="36"/>
          <w:szCs w:val="36"/>
          <w:highlight w:val="none"/>
        </w:rPr>
        <w:t>：</w:t>
      </w:r>
    </w:p>
    <w:p w14:paraId="4DBC33B7">
      <w:pPr>
        <w:pStyle w:val="16"/>
        <w:spacing w:before="0" w:line="360" w:lineRule="auto"/>
        <w:ind w:left="0"/>
        <w:jc w:val="both"/>
        <w:rPr>
          <w:rFonts w:hAnsi="宋体"/>
          <w:color w:val="auto"/>
          <w:sz w:val="21"/>
          <w:highlight w:val="none"/>
        </w:rPr>
      </w:pPr>
    </w:p>
    <w:p w14:paraId="06D8C204">
      <w:pPr>
        <w:pStyle w:val="16"/>
        <w:spacing w:before="0" w:line="360" w:lineRule="auto"/>
        <w:ind w:left="0"/>
        <w:jc w:val="both"/>
        <w:rPr>
          <w:rFonts w:hAnsi="宋体"/>
          <w:color w:val="auto"/>
          <w:sz w:val="21"/>
          <w:highlight w:val="none"/>
        </w:rPr>
      </w:pPr>
    </w:p>
    <w:p w14:paraId="4A50057E">
      <w:pPr>
        <w:pStyle w:val="16"/>
        <w:spacing w:before="0" w:line="360" w:lineRule="auto"/>
        <w:ind w:left="0"/>
        <w:jc w:val="both"/>
        <w:rPr>
          <w:rFonts w:hAnsi="宋体"/>
          <w:color w:val="auto"/>
          <w:sz w:val="21"/>
          <w:highlight w:val="none"/>
        </w:rPr>
      </w:pPr>
    </w:p>
    <w:p w14:paraId="7C72AF2B">
      <w:pPr>
        <w:pStyle w:val="16"/>
        <w:spacing w:before="0" w:line="360" w:lineRule="auto"/>
        <w:ind w:left="0"/>
        <w:jc w:val="both"/>
        <w:rPr>
          <w:rFonts w:hAnsi="宋体"/>
          <w:color w:val="auto"/>
          <w:sz w:val="21"/>
          <w:highlight w:val="none"/>
        </w:rPr>
      </w:pPr>
    </w:p>
    <w:p w14:paraId="16A25E8C">
      <w:pPr>
        <w:pStyle w:val="16"/>
        <w:spacing w:before="0" w:line="360" w:lineRule="auto"/>
        <w:ind w:left="0"/>
        <w:jc w:val="center"/>
        <w:rPr>
          <w:rFonts w:hAnsi="宋体"/>
          <w:b/>
          <w:bCs/>
          <w:color w:val="auto"/>
          <w:sz w:val="36"/>
          <w:szCs w:val="36"/>
          <w:highlight w:val="none"/>
        </w:rPr>
      </w:pPr>
      <w:r>
        <w:rPr>
          <w:rFonts w:hint="eastAsia" w:hAnsi="宋体"/>
          <w:b/>
          <w:bCs/>
          <w:color w:val="auto"/>
          <w:sz w:val="36"/>
          <w:szCs w:val="36"/>
          <w:highlight w:val="none"/>
        </w:rPr>
        <w:t>日期： 年月日</w:t>
      </w:r>
    </w:p>
    <w:p w14:paraId="25B19816">
      <w:pPr>
        <w:pStyle w:val="16"/>
        <w:spacing w:before="0" w:line="360" w:lineRule="auto"/>
        <w:ind w:left="0"/>
        <w:jc w:val="center"/>
        <w:rPr>
          <w:rFonts w:hAnsi="宋体"/>
          <w:b/>
          <w:bCs/>
          <w:color w:val="auto"/>
          <w:sz w:val="36"/>
          <w:szCs w:val="36"/>
          <w:highlight w:val="none"/>
        </w:rPr>
      </w:pPr>
    </w:p>
    <w:p w14:paraId="6647B8D4">
      <w:pPr>
        <w:pStyle w:val="3"/>
        <w:spacing w:line="360" w:lineRule="auto"/>
        <w:ind w:left="0"/>
        <w:rPr>
          <w:rFonts w:hAnsi="宋体"/>
          <w:bCs w:val="0"/>
          <w:color w:val="auto"/>
          <w:sz w:val="24"/>
          <w:szCs w:val="24"/>
          <w:highlight w:val="none"/>
        </w:rPr>
      </w:pPr>
      <w:r>
        <w:rPr>
          <w:rFonts w:hAnsi="宋体"/>
          <w:bCs w:val="0"/>
          <w:color w:val="auto"/>
          <w:sz w:val="24"/>
          <w:szCs w:val="24"/>
          <w:highlight w:val="none"/>
        </w:rPr>
        <w:t>1</w:t>
      </w:r>
      <w:r>
        <w:rPr>
          <w:rFonts w:hint="eastAsia" w:hAnsi="宋体"/>
          <w:bCs w:val="0"/>
          <w:color w:val="auto"/>
          <w:sz w:val="24"/>
          <w:szCs w:val="24"/>
          <w:highlight w:val="none"/>
        </w:rPr>
        <w:t>、投标承诺函</w:t>
      </w:r>
    </w:p>
    <w:p w14:paraId="527A21C6">
      <w:pPr>
        <w:spacing w:line="360" w:lineRule="auto"/>
        <w:jc w:val="center"/>
        <w:rPr>
          <w:rFonts w:hAnsi="宋体"/>
          <w:color w:val="auto"/>
          <w:sz w:val="24"/>
          <w:szCs w:val="24"/>
          <w:highlight w:val="none"/>
        </w:rPr>
      </w:pPr>
      <w:r>
        <w:rPr>
          <w:rFonts w:hint="eastAsia" w:hAnsi="宋体"/>
          <w:color w:val="auto"/>
          <w:sz w:val="24"/>
          <w:szCs w:val="24"/>
          <w:highlight w:val="none"/>
        </w:rPr>
        <w:t>投标承诺函</w:t>
      </w:r>
    </w:p>
    <w:p w14:paraId="5FB22A4A">
      <w:pPr>
        <w:spacing w:line="360" w:lineRule="auto"/>
        <w:rPr>
          <w:rFonts w:hAnsi="宋体"/>
          <w:color w:val="auto"/>
          <w:sz w:val="24"/>
          <w:szCs w:val="24"/>
          <w:highlight w:val="none"/>
        </w:rPr>
      </w:pPr>
      <w:r>
        <w:rPr>
          <w:rFonts w:hint="eastAsia" w:hAnsi="宋体"/>
          <w:color w:val="auto"/>
          <w:sz w:val="24"/>
          <w:szCs w:val="24"/>
          <w:highlight w:val="none"/>
        </w:rPr>
        <w:t>苏州安信造价咨询有限公司：</w:t>
      </w:r>
    </w:p>
    <w:p w14:paraId="26E49A53">
      <w:pPr>
        <w:spacing w:line="360" w:lineRule="auto"/>
        <w:ind w:firstLine="420"/>
        <w:rPr>
          <w:rFonts w:hAnsi="宋体"/>
          <w:color w:val="auto"/>
          <w:sz w:val="24"/>
          <w:szCs w:val="24"/>
          <w:highlight w:val="none"/>
        </w:rPr>
      </w:pPr>
      <w:r>
        <w:rPr>
          <w:rFonts w:hint="eastAsia" w:hAnsi="宋体"/>
          <w:color w:val="auto"/>
          <w:sz w:val="24"/>
          <w:szCs w:val="24"/>
          <w:highlight w:val="none"/>
        </w:rPr>
        <w:t>我们收到贵单位</w:t>
      </w:r>
      <w:r>
        <w:rPr>
          <w:rFonts w:hint="eastAsia" w:hAnsi="宋体"/>
          <w:color w:val="auto"/>
          <w:sz w:val="24"/>
          <w:szCs w:val="24"/>
          <w:highlight w:val="none"/>
          <w:u w:val="single"/>
        </w:rPr>
        <w:t xml:space="preserve">（项目名称） </w:t>
      </w:r>
      <w:r>
        <w:rPr>
          <w:rFonts w:hint="eastAsia" w:hAnsi="宋体"/>
          <w:color w:val="auto"/>
          <w:sz w:val="24"/>
          <w:szCs w:val="24"/>
          <w:highlight w:val="none"/>
        </w:rPr>
        <w:t>招标文件（项目编号：</w:t>
      </w:r>
      <w:r>
        <w:rPr>
          <w:rFonts w:hAnsi="宋体"/>
          <w:color w:val="auto"/>
          <w:sz w:val="24"/>
          <w:szCs w:val="24"/>
          <w:highlight w:val="none"/>
          <w:u w:val="single"/>
        </w:rPr>
        <w:t>JSZC-320585-TCAX-G2026-0007</w:t>
      </w:r>
      <w:r>
        <w:rPr>
          <w:rFonts w:hint="eastAsia" w:hAnsi="宋体"/>
          <w:color w:val="auto"/>
          <w:sz w:val="24"/>
          <w:szCs w:val="24"/>
          <w:highlight w:val="none"/>
        </w:rPr>
        <w:t>），经仔细阅读和研究，我们决定参加投标。</w:t>
      </w:r>
    </w:p>
    <w:p w14:paraId="70D3563C">
      <w:pPr>
        <w:spacing w:line="360" w:lineRule="auto"/>
        <w:ind w:firstLine="420"/>
        <w:rPr>
          <w:rFonts w:hAnsi="宋体"/>
          <w:color w:val="auto"/>
          <w:sz w:val="24"/>
          <w:szCs w:val="24"/>
          <w:highlight w:val="none"/>
        </w:rPr>
      </w:pPr>
      <w:r>
        <w:rPr>
          <w:rFonts w:hint="eastAsia" w:hAnsi="宋体"/>
          <w:color w:val="auto"/>
          <w:sz w:val="24"/>
          <w:szCs w:val="24"/>
          <w:highlight w:val="none"/>
        </w:rPr>
        <w:t>1、我们愿意按照招标文件的一切要求，提供完成该项目的全部内容，我们的投标报价</w:t>
      </w:r>
      <w:bookmarkStart w:id="33" w:name="OLE_LINK14"/>
      <w:bookmarkStart w:id="34" w:name="OLE_LINK15"/>
      <w:r>
        <w:rPr>
          <w:rFonts w:hint="eastAsia" w:hAnsi="宋体"/>
          <w:color w:val="auto"/>
          <w:sz w:val="24"/>
          <w:szCs w:val="24"/>
          <w:highlight w:val="none"/>
        </w:rPr>
        <w:t>包括但不限于完成本项目的全部人工工资、加班费、福利、伙食、交通、通讯、办公用品、服装、各类保险、垃圾处置费用；为项目服务所需要的工具、设备、车辆、耗材；招标文件中列明的各类费用；企业管理费用、利润、财务费用、税金；以及合同履行期间可能会产生政策性调整，市场价格变化等各种风险费用。</w:t>
      </w:r>
      <w:bookmarkEnd w:id="33"/>
      <w:bookmarkEnd w:id="34"/>
    </w:p>
    <w:p w14:paraId="543C1222">
      <w:pPr>
        <w:spacing w:line="360" w:lineRule="auto"/>
        <w:ind w:firstLine="420"/>
        <w:rPr>
          <w:rFonts w:hAnsi="宋体"/>
          <w:color w:val="auto"/>
          <w:sz w:val="24"/>
          <w:szCs w:val="24"/>
          <w:highlight w:val="none"/>
        </w:rPr>
      </w:pPr>
      <w:r>
        <w:rPr>
          <w:rFonts w:hint="eastAsia" w:hAnsi="宋体"/>
          <w:color w:val="auto"/>
          <w:sz w:val="24"/>
          <w:szCs w:val="24"/>
          <w:highlight w:val="none"/>
        </w:rPr>
        <w:t>2、如果我们的投标书被接受，我们将严格履行招标文件中规定的每一项要求，按期、按质、按量履行合同的义务。</w:t>
      </w:r>
    </w:p>
    <w:p w14:paraId="438E7F47">
      <w:pPr>
        <w:spacing w:line="360" w:lineRule="auto"/>
        <w:ind w:firstLine="420"/>
        <w:rPr>
          <w:rFonts w:hAnsi="宋体"/>
          <w:color w:val="auto"/>
          <w:sz w:val="24"/>
          <w:szCs w:val="24"/>
          <w:highlight w:val="none"/>
        </w:rPr>
      </w:pPr>
      <w:r>
        <w:rPr>
          <w:rFonts w:hint="eastAsia" w:hAnsi="宋体"/>
          <w:color w:val="auto"/>
          <w:sz w:val="24"/>
          <w:szCs w:val="24"/>
          <w:highlight w:val="none"/>
        </w:rPr>
        <w:t>3、我们已详细审查全部招标文件，包括补充文件(更正公告)(如有)。我们完全理解并同意放弃对这方面有不明及误解的权力。</w:t>
      </w:r>
    </w:p>
    <w:p w14:paraId="4558FD05">
      <w:pPr>
        <w:spacing w:line="360" w:lineRule="auto"/>
        <w:ind w:firstLine="420"/>
        <w:rPr>
          <w:rFonts w:hAnsi="宋体"/>
          <w:color w:val="auto"/>
          <w:sz w:val="24"/>
          <w:szCs w:val="24"/>
          <w:highlight w:val="none"/>
        </w:rPr>
      </w:pPr>
      <w:r>
        <w:rPr>
          <w:rFonts w:hint="eastAsia" w:hAnsi="宋体"/>
          <w:color w:val="auto"/>
          <w:sz w:val="24"/>
          <w:szCs w:val="24"/>
          <w:highlight w:val="none"/>
        </w:rPr>
        <w:t>4、我们同意按招标文件中的规定，本投标书的有效期限为投标截止日起90天。</w:t>
      </w:r>
    </w:p>
    <w:p w14:paraId="2565F537">
      <w:pPr>
        <w:spacing w:line="360" w:lineRule="auto"/>
        <w:ind w:firstLine="420"/>
        <w:rPr>
          <w:rFonts w:hAnsi="宋体"/>
          <w:color w:val="auto"/>
          <w:sz w:val="24"/>
          <w:szCs w:val="24"/>
          <w:highlight w:val="none"/>
        </w:rPr>
      </w:pPr>
      <w:r>
        <w:rPr>
          <w:rFonts w:hint="eastAsia" w:hAnsi="宋体"/>
          <w:color w:val="auto"/>
          <w:sz w:val="24"/>
          <w:szCs w:val="24"/>
          <w:highlight w:val="none"/>
        </w:rPr>
        <w:t>5、我们愿意提供采购人或采购代理机构在招标文件中要求的所有资料。</w:t>
      </w:r>
    </w:p>
    <w:p w14:paraId="0562AE59">
      <w:pPr>
        <w:spacing w:line="360" w:lineRule="auto"/>
        <w:ind w:firstLine="420"/>
        <w:rPr>
          <w:rFonts w:hAnsi="宋体"/>
          <w:color w:val="auto"/>
          <w:sz w:val="24"/>
          <w:szCs w:val="24"/>
          <w:highlight w:val="none"/>
        </w:rPr>
      </w:pPr>
      <w:r>
        <w:rPr>
          <w:rFonts w:hint="eastAsia" w:hAnsi="宋体"/>
          <w:color w:val="auto"/>
          <w:sz w:val="24"/>
          <w:szCs w:val="24"/>
          <w:highlight w:val="none"/>
        </w:rPr>
        <w:t>6、我们声明：我们在参加本次政府采购活动前3年内在经营活动中没有重大违法记录。</w:t>
      </w:r>
    </w:p>
    <w:p w14:paraId="5F9E54ED">
      <w:pPr>
        <w:spacing w:line="360" w:lineRule="auto"/>
        <w:ind w:firstLine="420"/>
        <w:rPr>
          <w:rFonts w:hAnsi="宋体"/>
          <w:color w:val="auto"/>
          <w:sz w:val="24"/>
          <w:szCs w:val="24"/>
          <w:highlight w:val="none"/>
        </w:rPr>
      </w:pPr>
      <w:r>
        <w:rPr>
          <w:rFonts w:hint="eastAsia" w:hAnsi="宋体"/>
          <w:color w:val="auto"/>
          <w:sz w:val="24"/>
          <w:szCs w:val="24"/>
          <w:highlight w:val="none"/>
        </w:rPr>
        <w:t>7、我们愿意遵守招标公告及招标文件中所列的收费标准。</w:t>
      </w:r>
    </w:p>
    <w:p w14:paraId="0D07801A">
      <w:pPr>
        <w:spacing w:line="360" w:lineRule="auto"/>
        <w:ind w:firstLine="420"/>
        <w:rPr>
          <w:rFonts w:hAnsi="宋体"/>
          <w:color w:val="auto"/>
          <w:sz w:val="24"/>
          <w:szCs w:val="24"/>
          <w:highlight w:val="none"/>
        </w:rPr>
      </w:pPr>
      <w:r>
        <w:rPr>
          <w:rFonts w:hint="eastAsia" w:hAnsi="宋体"/>
          <w:color w:val="auto"/>
          <w:sz w:val="24"/>
          <w:szCs w:val="24"/>
          <w:highlight w:val="none"/>
        </w:rPr>
        <w:t>8、我们承诺该项投标在开标后的全过程中保持有效，不作任何更改和变动。</w:t>
      </w:r>
    </w:p>
    <w:p w14:paraId="74B50555">
      <w:pPr>
        <w:spacing w:line="360" w:lineRule="auto"/>
        <w:ind w:firstLine="420"/>
        <w:rPr>
          <w:rFonts w:hAnsi="宋体"/>
          <w:color w:val="auto"/>
          <w:sz w:val="24"/>
          <w:szCs w:val="24"/>
          <w:highlight w:val="none"/>
        </w:rPr>
      </w:pPr>
      <w:r>
        <w:rPr>
          <w:rFonts w:hAnsi="宋体"/>
          <w:color w:val="auto"/>
          <w:sz w:val="24"/>
          <w:szCs w:val="24"/>
          <w:highlight w:val="none"/>
        </w:rPr>
        <w:t>9</w:t>
      </w:r>
      <w:r>
        <w:rPr>
          <w:rFonts w:hint="eastAsia" w:hAnsi="宋体"/>
          <w:color w:val="auto"/>
          <w:sz w:val="24"/>
          <w:szCs w:val="24"/>
          <w:highlight w:val="none"/>
        </w:rPr>
        <w:t>、如果我们中标，我们愿意按招标文件的规定支付代理服务费</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如有</w:t>
      </w:r>
      <w:r>
        <w:rPr>
          <w:rFonts w:hint="eastAsia" w:hAnsi="宋体"/>
          <w:color w:val="auto"/>
          <w:sz w:val="24"/>
          <w:szCs w:val="24"/>
          <w:highlight w:val="none"/>
          <w:lang w:eastAsia="zh-CN"/>
        </w:rPr>
        <w:t>）</w:t>
      </w:r>
      <w:r>
        <w:rPr>
          <w:rFonts w:hint="eastAsia" w:hAnsi="宋体"/>
          <w:color w:val="auto"/>
          <w:sz w:val="24"/>
          <w:szCs w:val="24"/>
          <w:highlight w:val="none"/>
        </w:rPr>
        <w:t>；</w:t>
      </w:r>
    </w:p>
    <w:p w14:paraId="41124BF0">
      <w:pPr>
        <w:spacing w:line="360" w:lineRule="auto"/>
        <w:ind w:firstLine="420"/>
        <w:rPr>
          <w:rFonts w:hAnsi="宋体"/>
          <w:color w:val="auto"/>
          <w:sz w:val="24"/>
          <w:szCs w:val="24"/>
          <w:highlight w:val="none"/>
        </w:rPr>
      </w:pPr>
      <w:r>
        <w:rPr>
          <w:rFonts w:hAnsi="宋体"/>
          <w:color w:val="auto"/>
          <w:sz w:val="24"/>
          <w:szCs w:val="24"/>
          <w:highlight w:val="none"/>
        </w:rPr>
        <w:t>10</w:t>
      </w:r>
      <w:r>
        <w:rPr>
          <w:rFonts w:hint="eastAsia" w:hAnsi="宋体"/>
          <w:color w:val="auto"/>
          <w:sz w:val="24"/>
          <w:szCs w:val="24"/>
          <w:highlight w:val="none"/>
        </w:rPr>
        <w:t>、我们承诺我公司符合招标文件投标人须知中“合格投标人的资格条件”的要求，若与真实情况不符，本公司愿意承担由此而产生的一切后果。</w:t>
      </w:r>
    </w:p>
    <w:p w14:paraId="39F8EE30">
      <w:pPr>
        <w:spacing w:line="360" w:lineRule="auto"/>
        <w:ind w:firstLine="420"/>
        <w:rPr>
          <w:rFonts w:hAnsi="宋体"/>
          <w:color w:val="auto"/>
          <w:sz w:val="24"/>
          <w:szCs w:val="24"/>
          <w:highlight w:val="none"/>
        </w:rPr>
      </w:pPr>
      <w:r>
        <w:rPr>
          <w:rFonts w:hAnsi="宋体"/>
          <w:color w:val="auto"/>
          <w:sz w:val="24"/>
          <w:szCs w:val="24"/>
          <w:highlight w:val="none"/>
        </w:rPr>
        <w:t>11</w:t>
      </w:r>
      <w:r>
        <w:rPr>
          <w:rFonts w:hint="eastAsia" w:hAnsi="宋体"/>
          <w:color w:val="auto"/>
          <w:sz w:val="24"/>
          <w:szCs w:val="24"/>
          <w:highlight w:val="none"/>
        </w:rPr>
        <w:t>、我们承诺我公司中标后，合同部分或全部不予转包。</w:t>
      </w:r>
    </w:p>
    <w:p w14:paraId="72E9ECC7">
      <w:pPr>
        <w:spacing w:line="360" w:lineRule="auto"/>
        <w:ind w:firstLine="420"/>
        <w:rPr>
          <w:rFonts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、综合说明：</w:t>
      </w:r>
    </w:p>
    <w:p w14:paraId="160F0C0C">
      <w:pPr>
        <w:spacing w:line="360" w:lineRule="auto"/>
        <w:ind w:firstLine="420"/>
        <w:rPr>
          <w:rFonts w:hAnsi="宋体"/>
          <w:color w:val="auto"/>
          <w:sz w:val="24"/>
          <w:szCs w:val="24"/>
          <w:highlight w:val="none"/>
        </w:rPr>
      </w:pPr>
      <w:r>
        <w:rPr>
          <w:rFonts w:hint="eastAsia" w:hAnsi="宋体"/>
          <w:color w:val="auto"/>
          <w:sz w:val="24"/>
          <w:szCs w:val="24"/>
          <w:highlight w:val="none"/>
        </w:rPr>
        <w:t>（1）伴随服务及配合措施；</w:t>
      </w:r>
    </w:p>
    <w:p w14:paraId="704EC91D">
      <w:pPr>
        <w:spacing w:line="360" w:lineRule="auto"/>
        <w:ind w:firstLine="420"/>
        <w:rPr>
          <w:rFonts w:hAnsi="宋体"/>
          <w:color w:val="auto"/>
          <w:sz w:val="24"/>
          <w:szCs w:val="24"/>
          <w:highlight w:val="none"/>
        </w:rPr>
      </w:pPr>
      <w:r>
        <w:rPr>
          <w:rFonts w:hint="eastAsia" w:hAnsi="宋体"/>
          <w:color w:val="auto"/>
          <w:sz w:val="24"/>
          <w:szCs w:val="24"/>
          <w:highlight w:val="none"/>
        </w:rPr>
        <w:t>（2）要求甲方提供的配合；</w:t>
      </w:r>
    </w:p>
    <w:p w14:paraId="387E55DB">
      <w:pPr>
        <w:spacing w:line="360" w:lineRule="auto"/>
        <w:ind w:firstLine="420"/>
        <w:rPr>
          <w:rFonts w:hAnsi="宋体"/>
          <w:color w:val="auto"/>
          <w:sz w:val="24"/>
          <w:szCs w:val="24"/>
          <w:highlight w:val="none"/>
        </w:rPr>
      </w:pPr>
      <w:r>
        <w:rPr>
          <w:rFonts w:hint="eastAsia" w:hAnsi="宋体"/>
          <w:color w:val="auto"/>
          <w:sz w:val="24"/>
          <w:szCs w:val="24"/>
          <w:highlight w:val="none"/>
        </w:rPr>
        <w:t>（3）对招标文件有不同意见的偏离说明；</w:t>
      </w:r>
    </w:p>
    <w:p w14:paraId="1AB54EC3">
      <w:pPr>
        <w:spacing w:line="360" w:lineRule="auto"/>
        <w:ind w:firstLine="420"/>
        <w:rPr>
          <w:rFonts w:hAnsi="宋体"/>
          <w:color w:val="auto"/>
          <w:sz w:val="24"/>
          <w:szCs w:val="24"/>
          <w:highlight w:val="none"/>
        </w:rPr>
      </w:pPr>
      <w:r>
        <w:rPr>
          <w:rFonts w:hint="eastAsia" w:hAnsi="宋体"/>
          <w:color w:val="auto"/>
          <w:sz w:val="24"/>
          <w:szCs w:val="24"/>
          <w:highlight w:val="none"/>
        </w:rPr>
        <w:t>（4）其它说明。</w:t>
      </w:r>
    </w:p>
    <w:p w14:paraId="3D96A607">
      <w:pPr>
        <w:spacing w:line="360" w:lineRule="auto"/>
        <w:ind w:firstLine="420"/>
        <w:rPr>
          <w:rFonts w:hAnsi="宋体"/>
          <w:color w:val="auto"/>
          <w:sz w:val="24"/>
          <w:szCs w:val="24"/>
          <w:highlight w:val="none"/>
        </w:rPr>
      </w:pPr>
      <w:r>
        <w:rPr>
          <w:rFonts w:hint="eastAsia" w:hAnsi="宋体"/>
          <w:color w:val="auto"/>
          <w:sz w:val="24"/>
          <w:szCs w:val="24"/>
          <w:highlight w:val="none"/>
        </w:rPr>
        <w:t>所有有关标书的函电，请按下列地址联系：</w:t>
      </w:r>
    </w:p>
    <w:p w14:paraId="352E9A3A">
      <w:pPr>
        <w:spacing w:line="360" w:lineRule="auto"/>
        <w:ind w:firstLine="420"/>
        <w:rPr>
          <w:rFonts w:hAnsi="宋体"/>
          <w:color w:val="auto"/>
          <w:sz w:val="24"/>
          <w:szCs w:val="24"/>
          <w:highlight w:val="none"/>
        </w:rPr>
      </w:pPr>
      <w:r>
        <w:rPr>
          <w:rFonts w:hint="eastAsia" w:hAnsi="宋体"/>
          <w:color w:val="auto"/>
          <w:sz w:val="24"/>
          <w:szCs w:val="24"/>
          <w:highlight w:val="none"/>
        </w:rPr>
        <w:t>单位：联系人：</w:t>
      </w:r>
    </w:p>
    <w:p w14:paraId="7DA3B59D">
      <w:pPr>
        <w:spacing w:line="360" w:lineRule="auto"/>
        <w:ind w:firstLine="420"/>
        <w:rPr>
          <w:rFonts w:hAnsi="宋体"/>
          <w:color w:val="auto"/>
          <w:sz w:val="24"/>
          <w:szCs w:val="24"/>
          <w:highlight w:val="none"/>
        </w:rPr>
      </w:pPr>
      <w:r>
        <w:rPr>
          <w:rFonts w:hint="eastAsia" w:hAnsi="宋体"/>
          <w:color w:val="auto"/>
          <w:sz w:val="24"/>
          <w:szCs w:val="24"/>
          <w:highlight w:val="none"/>
        </w:rPr>
        <w:t>地址：邮政编码：</w:t>
      </w:r>
    </w:p>
    <w:p w14:paraId="5A6ECA01">
      <w:pPr>
        <w:spacing w:line="360" w:lineRule="auto"/>
        <w:ind w:firstLine="420"/>
        <w:rPr>
          <w:rFonts w:hAnsi="宋体"/>
          <w:color w:val="auto"/>
          <w:sz w:val="24"/>
          <w:szCs w:val="24"/>
          <w:highlight w:val="none"/>
        </w:rPr>
      </w:pPr>
      <w:r>
        <w:rPr>
          <w:rFonts w:hint="eastAsia" w:hAnsi="宋体"/>
          <w:color w:val="auto"/>
          <w:sz w:val="24"/>
          <w:szCs w:val="24"/>
          <w:highlight w:val="none"/>
        </w:rPr>
        <w:t>联系电话：传真：</w:t>
      </w:r>
    </w:p>
    <w:p w14:paraId="6E733536">
      <w:pPr>
        <w:spacing w:line="360" w:lineRule="auto"/>
        <w:ind w:firstLine="420"/>
        <w:rPr>
          <w:rFonts w:hAnsi="宋体"/>
          <w:color w:val="auto"/>
          <w:sz w:val="24"/>
          <w:szCs w:val="24"/>
          <w:highlight w:val="none"/>
        </w:rPr>
      </w:pPr>
      <w:r>
        <w:rPr>
          <w:rFonts w:hint="eastAsia" w:hAnsi="宋体"/>
          <w:color w:val="auto"/>
          <w:sz w:val="24"/>
          <w:szCs w:val="24"/>
          <w:highlight w:val="none"/>
        </w:rPr>
        <w:t>电子邮箱：</w:t>
      </w:r>
    </w:p>
    <w:p w14:paraId="4FA7A05B">
      <w:pPr>
        <w:spacing w:line="360" w:lineRule="auto"/>
        <w:ind w:firstLine="420"/>
        <w:rPr>
          <w:rFonts w:hAnsi="宋体"/>
          <w:color w:val="auto"/>
          <w:sz w:val="24"/>
          <w:szCs w:val="24"/>
          <w:highlight w:val="none"/>
        </w:rPr>
      </w:pPr>
    </w:p>
    <w:p w14:paraId="30055A64">
      <w:pPr>
        <w:spacing w:line="360" w:lineRule="auto"/>
        <w:ind w:firstLine="420"/>
        <w:jc w:val="right"/>
        <w:rPr>
          <w:rFonts w:hAnsi="宋体"/>
          <w:color w:val="auto"/>
          <w:sz w:val="24"/>
          <w:szCs w:val="24"/>
          <w:highlight w:val="none"/>
        </w:rPr>
      </w:pPr>
      <w:r>
        <w:rPr>
          <w:rFonts w:hint="eastAsia" w:hAnsi="宋体"/>
          <w:color w:val="auto"/>
          <w:sz w:val="24"/>
          <w:szCs w:val="24"/>
          <w:highlight w:val="none"/>
        </w:rPr>
        <w:t>投标单位：（单位盖章）</w:t>
      </w:r>
    </w:p>
    <w:p w14:paraId="196A17F3">
      <w:pPr>
        <w:spacing w:line="360" w:lineRule="auto"/>
        <w:ind w:firstLine="420"/>
        <w:jc w:val="right"/>
        <w:rPr>
          <w:rFonts w:hAnsi="宋体"/>
          <w:color w:val="auto"/>
          <w:sz w:val="24"/>
          <w:szCs w:val="24"/>
          <w:highlight w:val="none"/>
        </w:rPr>
      </w:pPr>
      <w:r>
        <w:rPr>
          <w:rFonts w:hint="eastAsia" w:hAnsi="宋体"/>
          <w:color w:val="auto"/>
          <w:sz w:val="24"/>
          <w:szCs w:val="24"/>
          <w:highlight w:val="none"/>
        </w:rPr>
        <w:t>法定代表人或代理人：（签字或盖章）</w:t>
      </w:r>
    </w:p>
    <w:p w14:paraId="5D75E4E2">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int="eastAsia" w:hAnsi="宋体"/>
          <w:color w:val="auto"/>
          <w:sz w:val="24"/>
          <w:szCs w:val="24"/>
          <w:highlight w:val="none"/>
        </w:rPr>
        <w:t xml:space="preserve">日期：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年 月 日</w:t>
      </w:r>
    </w:p>
    <w:p w14:paraId="58F14BA9">
      <w:pPr>
        <w:pStyle w:val="3"/>
        <w:spacing w:line="360" w:lineRule="auto"/>
        <w:ind w:left="0"/>
        <w:rPr>
          <w:rFonts w:hAnsi="宋体"/>
          <w:bCs w:val="0"/>
          <w:color w:val="auto"/>
          <w:sz w:val="24"/>
          <w:szCs w:val="24"/>
          <w:highlight w:val="none"/>
        </w:rPr>
      </w:pPr>
      <w:r>
        <w:rPr>
          <w:rFonts w:hAnsi="宋体"/>
          <w:bCs w:val="0"/>
          <w:color w:val="auto"/>
          <w:sz w:val="24"/>
          <w:szCs w:val="24"/>
          <w:highlight w:val="none"/>
        </w:rPr>
        <w:t>2</w:t>
      </w:r>
      <w:r>
        <w:rPr>
          <w:rFonts w:hint="eastAsia" w:hAnsi="宋体"/>
          <w:bCs w:val="0"/>
          <w:color w:val="auto"/>
          <w:sz w:val="24"/>
          <w:szCs w:val="24"/>
          <w:highlight w:val="none"/>
        </w:rPr>
        <w:t>、法定代表人授权委托书（如法定代表人投标则无需提供）</w:t>
      </w:r>
    </w:p>
    <w:p w14:paraId="28D82475">
      <w:pPr>
        <w:pStyle w:val="16"/>
        <w:spacing w:before="0" w:line="360" w:lineRule="auto"/>
        <w:ind w:left="0"/>
        <w:jc w:val="both"/>
        <w:rPr>
          <w:rFonts w:hAnsi="宋体"/>
          <w:color w:val="auto"/>
          <w:sz w:val="24"/>
          <w:szCs w:val="24"/>
          <w:highlight w:val="none"/>
        </w:rPr>
      </w:pPr>
    </w:p>
    <w:p w14:paraId="253B9D5B">
      <w:pPr>
        <w:pStyle w:val="16"/>
        <w:spacing w:before="0" w:line="360" w:lineRule="auto"/>
        <w:ind w:left="0"/>
        <w:jc w:val="both"/>
        <w:rPr>
          <w:rFonts w:hAnsi="宋体"/>
          <w:color w:val="auto"/>
          <w:sz w:val="24"/>
          <w:szCs w:val="24"/>
          <w:highlight w:val="none"/>
        </w:rPr>
      </w:pPr>
    </w:p>
    <w:p w14:paraId="59C9BDE9">
      <w:pPr>
        <w:spacing w:line="360" w:lineRule="auto"/>
        <w:jc w:val="center"/>
        <w:rPr>
          <w:rFonts w:hAnsi="宋体"/>
          <w:color w:val="auto"/>
          <w:sz w:val="28"/>
          <w:szCs w:val="24"/>
          <w:highlight w:val="none"/>
        </w:rPr>
      </w:pPr>
      <w:bookmarkStart w:id="35" w:name="OLE_LINK13"/>
      <w:bookmarkStart w:id="36" w:name="OLE_LINK12"/>
      <w:bookmarkStart w:id="37" w:name="OLE_LINK22"/>
      <w:r>
        <w:rPr>
          <w:rFonts w:hint="eastAsia" w:hAnsi="宋体"/>
          <w:color w:val="auto"/>
          <w:sz w:val="28"/>
          <w:szCs w:val="24"/>
          <w:highlight w:val="none"/>
        </w:rPr>
        <w:t>授权委托书</w:t>
      </w:r>
    </w:p>
    <w:bookmarkEnd w:id="35"/>
    <w:bookmarkEnd w:id="36"/>
    <w:p w14:paraId="2448B1ED">
      <w:pPr>
        <w:pStyle w:val="16"/>
        <w:spacing w:before="0" w:line="360" w:lineRule="auto"/>
        <w:ind w:left="0"/>
        <w:jc w:val="both"/>
        <w:rPr>
          <w:rFonts w:hAnsi="宋体"/>
          <w:color w:val="auto"/>
          <w:sz w:val="24"/>
          <w:szCs w:val="24"/>
          <w:highlight w:val="none"/>
        </w:rPr>
      </w:pPr>
    </w:p>
    <w:p w14:paraId="6B5A3EBE">
      <w:pPr>
        <w:spacing w:line="360" w:lineRule="auto"/>
        <w:ind w:firstLine="420"/>
        <w:rPr>
          <w:rFonts w:hAnsi="宋体"/>
          <w:color w:val="auto"/>
          <w:sz w:val="24"/>
          <w:szCs w:val="24"/>
          <w:highlight w:val="none"/>
        </w:rPr>
      </w:pPr>
      <w:r>
        <w:rPr>
          <w:rFonts w:hint="eastAsia" w:hAnsi="宋体"/>
          <w:color w:val="auto"/>
          <w:sz w:val="24"/>
          <w:szCs w:val="24"/>
          <w:highlight w:val="none"/>
        </w:rPr>
        <w:t>本授权委托书声明：（姓名）系（投标单位名称）的法定代表人，现授权委托（单位名称）的（姓名）为我公司代理人，以本公司的名义参加苏州安信造价咨询有限公司组织实施的编号为号的招标活动。代理人在开标、评标、合同谈判过程中所签署的一切文件和处理与这有关的一切事务，我均予以承认。</w:t>
      </w:r>
    </w:p>
    <w:p w14:paraId="35387FBF">
      <w:pPr>
        <w:spacing w:line="360" w:lineRule="auto"/>
        <w:ind w:firstLine="420"/>
        <w:rPr>
          <w:rFonts w:hAnsi="宋体"/>
          <w:color w:val="auto"/>
          <w:sz w:val="24"/>
          <w:szCs w:val="24"/>
          <w:highlight w:val="none"/>
        </w:rPr>
      </w:pPr>
      <w:r>
        <w:rPr>
          <w:rFonts w:hint="eastAsia" w:hAnsi="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186A3B35">
      <w:pPr>
        <w:spacing w:line="360" w:lineRule="auto"/>
        <w:rPr>
          <w:rFonts w:hAnsi="宋体"/>
          <w:color w:val="auto"/>
          <w:sz w:val="24"/>
          <w:szCs w:val="24"/>
          <w:highlight w:val="none"/>
        </w:rPr>
      </w:pPr>
      <w:r>
        <w:rPr>
          <w:rFonts w:hint="eastAsia" w:hAnsi="宋体"/>
          <w:color w:val="auto"/>
          <w:sz w:val="24"/>
          <w:szCs w:val="24"/>
          <w:highlight w:val="none"/>
        </w:rPr>
        <w:t>代理人无转委托权。特此委托！</w:t>
      </w:r>
    </w:p>
    <w:p w14:paraId="48A5F594">
      <w:pPr>
        <w:spacing w:line="360" w:lineRule="auto"/>
        <w:ind w:firstLine="420"/>
        <w:rPr>
          <w:rFonts w:hAnsi="宋体"/>
          <w:color w:val="auto"/>
          <w:sz w:val="24"/>
          <w:szCs w:val="24"/>
          <w:highlight w:val="none"/>
        </w:rPr>
      </w:pPr>
      <w:r>
        <w:rPr>
          <w:rFonts w:hAnsi="宋体"/>
          <w:color w:val="auto"/>
          <w:sz w:val="24"/>
          <w:szCs w:val="24"/>
          <w:highlight w:val="none"/>
        </w:rPr>
        <w:t xml:space="preserve">    法定代表人（单位负责人）有效期内的身份证正反面复印件：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708D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1" w:hRule="atLeast"/>
        </w:trPr>
        <w:tc>
          <w:tcPr>
            <w:tcW w:w="4673" w:type="dxa"/>
          </w:tcPr>
          <w:p w14:paraId="33B24D18">
            <w:pPr>
              <w:tabs>
                <w:tab w:val="left" w:pos="5580"/>
              </w:tabs>
              <w:spacing w:line="360" w:lineRule="auto"/>
              <w:rPr>
                <w:rFonts w:hAnsi="宋体" w:cs="Times New Roman"/>
                <w:color w:val="auto"/>
                <w:sz w:val="21"/>
                <w:szCs w:val="21"/>
                <w:highlight w:val="none"/>
              </w:rPr>
            </w:pPr>
          </w:p>
          <w:p w14:paraId="5A261245">
            <w:pPr>
              <w:tabs>
                <w:tab w:val="left" w:pos="5580"/>
              </w:tabs>
              <w:spacing w:line="360" w:lineRule="auto"/>
              <w:rPr>
                <w:rFonts w:hAnsi="宋体" w:cs="Times New Roman"/>
                <w:color w:val="auto"/>
                <w:sz w:val="21"/>
                <w:szCs w:val="21"/>
                <w:highlight w:val="none"/>
              </w:rPr>
            </w:pPr>
          </w:p>
          <w:p w14:paraId="0E85736F">
            <w:pPr>
              <w:tabs>
                <w:tab w:val="left" w:pos="5580"/>
              </w:tabs>
              <w:spacing w:line="360" w:lineRule="auto"/>
              <w:rPr>
                <w:rFonts w:hAnsi="宋体" w:cs="Times New Roman"/>
                <w:color w:val="auto"/>
                <w:sz w:val="21"/>
                <w:szCs w:val="21"/>
                <w:highlight w:val="none"/>
              </w:rPr>
            </w:pPr>
          </w:p>
        </w:tc>
        <w:tc>
          <w:tcPr>
            <w:tcW w:w="4536" w:type="dxa"/>
          </w:tcPr>
          <w:p w14:paraId="461DD787">
            <w:pPr>
              <w:tabs>
                <w:tab w:val="left" w:pos="5580"/>
              </w:tabs>
              <w:spacing w:line="360" w:lineRule="auto"/>
              <w:rPr>
                <w:rFonts w:hAnsi="宋体" w:cs="Times New Roman"/>
                <w:color w:val="auto"/>
                <w:sz w:val="21"/>
                <w:szCs w:val="21"/>
                <w:highlight w:val="none"/>
              </w:rPr>
            </w:pPr>
          </w:p>
          <w:p w14:paraId="6CE38384">
            <w:pPr>
              <w:tabs>
                <w:tab w:val="left" w:pos="5580"/>
              </w:tabs>
              <w:spacing w:line="360" w:lineRule="auto"/>
              <w:rPr>
                <w:rFonts w:hAnsi="宋体" w:cs="Times New Roman"/>
                <w:color w:val="auto"/>
                <w:sz w:val="21"/>
                <w:szCs w:val="21"/>
                <w:highlight w:val="none"/>
              </w:rPr>
            </w:pPr>
          </w:p>
          <w:p w14:paraId="1165A47F">
            <w:pPr>
              <w:tabs>
                <w:tab w:val="left" w:pos="5580"/>
              </w:tabs>
              <w:spacing w:line="360" w:lineRule="auto"/>
              <w:rPr>
                <w:rFonts w:hAnsi="宋体" w:cs="Times New Roman"/>
                <w:color w:val="auto"/>
                <w:sz w:val="21"/>
                <w:szCs w:val="21"/>
                <w:highlight w:val="none"/>
              </w:rPr>
            </w:pPr>
          </w:p>
        </w:tc>
      </w:tr>
    </w:tbl>
    <w:p w14:paraId="206B3F1E">
      <w:pPr>
        <w:spacing w:line="360" w:lineRule="auto"/>
        <w:ind w:firstLine="420"/>
        <w:rPr>
          <w:rFonts w:hAnsi="宋体"/>
          <w:color w:val="auto"/>
          <w:sz w:val="24"/>
          <w:szCs w:val="24"/>
          <w:highlight w:val="none"/>
        </w:rPr>
      </w:pPr>
      <w:r>
        <w:rPr>
          <w:rFonts w:hAnsi="宋体"/>
          <w:color w:val="auto"/>
          <w:sz w:val="24"/>
          <w:szCs w:val="24"/>
          <w:highlight w:val="none"/>
        </w:rPr>
        <w:t>委托代理人有效期内的身份证正反面复印件：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853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9" w:hRule="atLeast"/>
        </w:trPr>
        <w:tc>
          <w:tcPr>
            <w:tcW w:w="4673" w:type="dxa"/>
          </w:tcPr>
          <w:p w14:paraId="0DE8ADCC">
            <w:pPr>
              <w:tabs>
                <w:tab w:val="left" w:pos="5580"/>
              </w:tabs>
              <w:spacing w:line="360" w:lineRule="auto"/>
              <w:rPr>
                <w:rFonts w:hAnsi="宋体" w:cs="Times New Roman"/>
                <w:color w:val="auto"/>
                <w:sz w:val="21"/>
                <w:szCs w:val="21"/>
                <w:highlight w:val="none"/>
              </w:rPr>
            </w:pPr>
          </w:p>
          <w:p w14:paraId="4D75D870">
            <w:pPr>
              <w:tabs>
                <w:tab w:val="left" w:pos="5580"/>
              </w:tabs>
              <w:spacing w:line="360" w:lineRule="auto"/>
              <w:rPr>
                <w:rFonts w:hAnsi="宋体" w:cs="Times New Roman"/>
                <w:color w:val="auto"/>
                <w:sz w:val="21"/>
                <w:szCs w:val="21"/>
                <w:highlight w:val="none"/>
              </w:rPr>
            </w:pPr>
          </w:p>
          <w:p w14:paraId="5C65D8D8">
            <w:pPr>
              <w:tabs>
                <w:tab w:val="left" w:pos="5580"/>
              </w:tabs>
              <w:spacing w:line="360" w:lineRule="auto"/>
              <w:rPr>
                <w:rFonts w:hAnsi="宋体" w:cs="Times New Roman"/>
                <w:color w:val="auto"/>
                <w:sz w:val="21"/>
                <w:szCs w:val="21"/>
                <w:highlight w:val="none"/>
              </w:rPr>
            </w:pPr>
          </w:p>
        </w:tc>
        <w:tc>
          <w:tcPr>
            <w:tcW w:w="4536" w:type="dxa"/>
          </w:tcPr>
          <w:p w14:paraId="06666888">
            <w:pPr>
              <w:tabs>
                <w:tab w:val="left" w:pos="5580"/>
              </w:tabs>
              <w:spacing w:line="360" w:lineRule="auto"/>
              <w:rPr>
                <w:rFonts w:hAnsi="宋体" w:cs="Times New Roman"/>
                <w:color w:val="auto"/>
                <w:sz w:val="21"/>
                <w:szCs w:val="21"/>
                <w:highlight w:val="none"/>
              </w:rPr>
            </w:pPr>
          </w:p>
          <w:p w14:paraId="5B861024">
            <w:pPr>
              <w:tabs>
                <w:tab w:val="left" w:pos="5580"/>
              </w:tabs>
              <w:spacing w:line="360" w:lineRule="auto"/>
              <w:rPr>
                <w:rFonts w:hAnsi="宋体" w:cs="Times New Roman"/>
                <w:color w:val="auto"/>
                <w:sz w:val="21"/>
                <w:szCs w:val="21"/>
                <w:highlight w:val="none"/>
              </w:rPr>
            </w:pPr>
          </w:p>
          <w:p w14:paraId="5FB058C7">
            <w:pPr>
              <w:tabs>
                <w:tab w:val="left" w:pos="5580"/>
              </w:tabs>
              <w:spacing w:line="360" w:lineRule="auto"/>
              <w:rPr>
                <w:rFonts w:hAnsi="宋体" w:cs="Times New Roman"/>
                <w:color w:val="auto"/>
                <w:sz w:val="21"/>
                <w:szCs w:val="21"/>
                <w:highlight w:val="none"/>
              </w:rPr>
            </w:pPr>
          </w:p>
        </w:tc>
      </w:tr>
    </w:tbl>
    <w:p w14:paraId="47BFCEE5">
      <w:pPr>
        <w:spacing w:line="360" w:lineRule="auto"/>
        <w:rPr>
          <w:rFonts w:hAnsi="宋体"/>
          <w:color w:val="auto"/>
          <w:sz w:val="24"/>
          <w:szCs w:val="24"/>
          <w:highlight w:val="none"/>
        </w:rPr>
      </w:pPr>
    </w:p>
    <w:p w14:paraId="042775A1">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4B3E4C63">
      <w:pPr>
        <w:spacing w:line="360" w:lineRule="auto"/>
        <w:rPr>
          <w:rFonts w:hAnsi="宋体"/>
          <w:color w:val="auto"/>
          <w:sz w:val="24"/>
          <w:szCs w:val="24"/>
          <w:highlight w:val="none"/>
        </w:rPr>
      </w:pPr>
      <w:r>
        <w:rPr>
          <w:rFonts w:hint="eastAsia" w:hAnsi="宋体"/>
          <w:color w:val="auto"/>
          <w:sz w:val="24"/>
          <w:szCs w:val="24"/>
          <w:highlight w:val="none"/>
        </w:rPr>
        <w:t>法定代表人：（签字或盖章）</w:t>
      </w:r>
    </w:p>
    <w:p w14:paraId="6696C819">
      <w:pPr>
        <w:spacing w:line="360" w:lineRule="auto"/>
        <w:rPr>
          <w:rFonts w:hAnsi="宋体"/>
          <w:color w:val="auto"/>
          <w:sz w:val="24"/>
          <w:szCs w:val="24"/>
          <w:highlight w:val="none"/>
        </w:rPr>
      </w:pPr>
      <w:r>
        <w:rPr>
          <w:rFonts w:hint="eastAsia" w:hAnsi="宋体"/>
          <w:color w:val="auto"/>
          <w:sz w:val="24"/>
          <w:szCs w:val="24"/>
          <w:highlight w:val="none"/>
        </w:rPr>
        <w:t>授权代理人：（签字或盖章）</w:t>
      </w:r>
    </w:p>
    <w:p w14:paraId="0D8C4459">
      <w:pPr>
        <w:spacing w:line="360" w:lineRule="auto"/>
        <w:rPr>
          <w:rFonts w:hAnsi="宋体"/>
          <w:color w:val="auto"/>
          <w:sz w:val="24"/>
          <w:szCs w:val="24"/>
          <w:highlight w:val="none"/>
        </w:rPr>
      </w:pPr>
      <w:r>
        <w:rPr>
          <w:rFonts w:hint="eastAsia" w:hAnsi="宋体"/>
          <w:color w:val="auto"/>
          <w:sz w:val="24"/>
          <w:szCs w:val="24"/>
          <w:highlight w:val="none"/>
        </w:rPr>
        <w:t>投标日期：年月日</w:t>
      </w:r>
      <w:bookmarkEnd w:id="37"/>
    </w:p>
    <w:p w14:paraId="16FCB0C2">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688192DB">
      <w:pPr>
        <w:pStyle w:val="3"/>
        <w:spacing w:line="360" w:lineRule="auto"/>
        <w:ind w:left="0"/>
        <w:rPr>
          <w:rFonts w:hAnsi="宋体"/>
          <w:bCs w:val="0"/>
          <w:color w:val="auto"/>
          <w:sz w:val="24"/>
          <w:szCs w:val="24"/>
          <w:highlight w:val="none"/>
        </w:rPr>
      </w:pPr>
      <w:r>
        <w:rPr>
          <w:rFonts w:hAnsi="宋体"/>
          <w:bCs w:val="0"/>
          <w:color w:val="auto"/>
          <w:sz w:val="24"/>
          <w:szCs w:val="24"/>
          <w:highlight w:val="none"/>
        </w:rPr>
        <w:t>3</w:t>
      </w:r>
      <w:r>
        <w:rPr>
          <w:rFonts w:hint="eastAsia" w:hAnsi="宋体"/>
          <w:bCs w:val="0"/>
          <w:color w:val="auto"/>
          <w:sz w:val="24"/>
          <w:szCs w:val="24"/>
          <w:highlight w:val="none"/>
        </w:rPr>
        <w:t>、开标一览表</w:t>
      </w:r>
    </w:p>
    <w:p w14:paraId="27E62BB5">
      <w:pPr>
        <w:pStyle w:val="16"/>
        <w:spacing w:before="0" w:line="360" w:lineRule="auto"/>
        <w:ind w:left="0"/>
        <w:jc w:val="both"/>
        <w:rPr>
          <w:rFonts w:hAnsi="宋体"/>
          <w:color w:val="auto"/>
          <w:sz w:val="24"/>
          <w:szCs w:val="24"/>
          <w:highlight w:val="none"/>
        </w:rPr>
      </w:pPr>
    </w:p>
    <w:p w14:paraId="5A2FF4D2">
      <w:pPr>
        <w:spacing w:line="360" w:lineRule="auto"/>
        <w:jc w:val="center"/>
        <w:rPr>
          <w:rFonts w:hAnsi="宋体"/>
          <w:color w:val="auto"/>
          <w:sz w:val="24"/>
          <w:szCs w:val="24"/>
          <w:highlight w:val="none"/>
        </w:rPr>
      </w:pPr>
      <w:r>
        <w:rPr>
          <w:rFonts w:hint="eastAsia" w:hAnsi="宋体"/>
          <w:color w:val="auto"/>
          <w:sz w:val="24"/>
          <w:szCs w:val="24"/>
          <w:highlight w:val="none"/>
        </w:rPr>
        <w:t>开标一览表</w:t>
      </w:r>
    </w:p>
    <w:p w14:paraId="5F9E12BD">
      <w:pPr>
        <w:spacing w:line="360" w:lineRule="auto"/>
        <w:rPr>
          <w:rFonts w:hAnsi="宋体"/>
          <w:color w:val="auto"/>
          <w:sz w:val="24"/>
          <w:szCs w:val="24"/>
          <w:highlight w:val="none"/>
        </w:rPr>
      </w:pPr>
      <w:r>
        <w:rPr>
          <w:rFonts w:hint="eastAsia" w:hAnsi="宋体"/>
          <w:color w:val="auto"/>
          <w:sz w:val="24"/>
          <w:szCs w:val="24"/>
          <w:highlight w:val="none"/>
        </w:rPr>
        <w:t>项目编号：</w:t>
      </w:r>
    </w:p>
    <w:p w14:paraId="1ABC7748">
      <w:pPr>
        <w:spacing w:line="360" w:lineRule="auto"/>
        <w:rPr>
          <w:rFonts w:hAnsi="宋体"/>
          <w:color w:val="auto"/>
          <w:sz w:val="24"/>
          <w:szCs w:val="24"/>
          <w:highlight w:val="none"/>
        </w:rPr>
      </w:pPr>
      <w:r>
        <w:rPr>
          <w:rFonts w:hint="eastAsia" w:hAnsi="宋体"/>
          <w:color w:val="auto"/>
          <w:sz w:val="24"/>
          <w:szCs w:val="24"/>
          <w:highlight w:val="none"/>
        </w:rPr>
        <w:t>项目名称：</w:t>
      </w:r>
    </w:p>
    <w:tbl>
      <w:tblPr>
        <w:tblStyle w:val="42"/>
        <w:tblW w:w="9340" w:type="dxa"/>
        <w:tblInd w:w="16" w:type="dxa"/>
        <w:tblLayout w:type="fixed"/>
        <w:tblCellMar>
          <w:top w:w="0" w:type="dxa"/>
          <w:left w:w="0" w:type="dxa"/>
          <w:bottom w:w="0" w:type="dxa"/>
          <w:right w:w="0" w:type="dxa"/>
        </w:tblCellMar>
      </w:tblPr>
      <w:tblGrid>
        <w:gridCol w:w="1560"/>
        <w:gridCol w:w="3527"/>
        <w:gridCol w:w="2835"/>
        <w:gridCol w:w="1418"/>
      </w:tblGrid>
      <w:tr w14:paraId="7FD3422D">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21DBEECF">
            <w:pPr>
              <w:pStyle w:val="240"/>
              <w:spacing w:before="0"/>
              <w:rPr>
                <w:rFonts w:hAnsi="宋体"/>
                <w:color w:val="auto"/>
                <w:highlight w:val="none"/>
              </w:rPr>
            </w:pPr>
            <w:r>
              <w:rPr>
                <w:rFonts w:hint="eastAsia" w:hAnsi="宋体"/>
                <w:color w:val="auto"/>
                <w:highlight w:val="none"/>
              </w:rPr>
              <w:t>序号</w:t>
            </w:r>
          </w:p>
        </w:tc>
        <w:tc>
          <w:tcPr>
            <w:tcW w:w="3527" w:type="dxa"/>
            <w:tcBorders>
              <w:top w:val="single" w:color="000000" w:sz="6" w:space="0"/>
              <w:left w:val="single" w:color="000000" w:sz="6" w:space="0"/>
              <w:bottom w:val="single" w:color="000000" w:sz="6" w:space="0"/>
              <w:right w:val="single" w:color="000000" w:sz="6" w:space="0"/>
            </w:tcBorders>
            <w:vAlign w:val="center"/>
          </w:tcPr>
          <w:p w14:paraId="69D401CC">
            <w:pPr>
              <w:pStyle w:val="240"/>
              <w:spacing w:before="0"/>
              <w:rPr>
                <w:rFonts w:hAnsi="宋体"/>
                <w:color w:val="auto"/>
                <w:highlight w:val="none"/>
              </w:rPr>
            </w:pPr>
            <w:r>
              <w:rPr>
                <w:rFonts w:hint="eastAsia" w:hAnsi="宋体"/>
                <w:color w:val="auto"/>
                <w:highlight w:val="none"/>
              </w:rPr>
              <w:t>项目内容</w:t>
            </w:r>
          </w:p>
        </w:tc>
        <w:tc>
          <w:tcPr>
            <w:tcW w:w="2835" w:type="dxa"/>
            <w:tcBorders>
              <w:top w:val="single" w:color="000000" w:sz="6" w:space="0"/>
              <w:left w:val="single" w:color="000000" w:sz="6" w:space="0"/>
              <w:bottom w:val="single" w:color="000000" w:sz="4" w:space="0"/>
              <w:right w:val="single" w:color="000000" w:sz="6" w:space="0"/>
            </w:tcBorders>
            <w:vAlign w:val="center"/>
          </w:tcPr>
          <w:p w14:paraId="37E1CDD7">
            <w:pPr>
              <w:pStyle w:val="240"/>
              <w:spacing w:before="0"/>
              <w:rPr>
                <w:rFonts w:hAnsi="宋体"/>
                <w:color w:val="auto"/>
                <w:highlight w:val="none"/>
              </w:rPr>
            </w:pPr>
            <w:r>
              <w:rPr>
                <w:rFonts w:hint="eastAsia" w:hAnsi="宋体"/>
                <w:color w:val="auto"/>
                <w:highlight w:val="none"/>
              </w:rPr>
              <w:t>投标报价（元）</w:t>
            </w:r>
          </w:p>
        </w:tc>
        <w:tc>
          <w:tcPr>
            <w:tcW w:w="1418" w:type="dxa"/>
            <w:tcBorders>
              <w:top w:val="single" w:color="000000" w:sz="6" w:space="0"/>
              <w:left w:val="single" w:color="000000" w:sz="6" w:space="0"/>
              <w:bottom w:val="single" w:color="000000" w:sz="6" w:space="0"/>
              <w:right w:val="single" w:color="000000" w:sz="4" w:space="0"/>
            </w:tcBorders>
            <w:vAlign w:val="center"/>
          </w:tcPr>
          <w:p w14:paraId="184D7BB3">
            <w:pPr>
              <w:pStyle w:val="240"/>
              <w:spacing w:before="0"/>
              <w:rPr>
                <w:rFonts w:hAnsi="宋体"/>
                <w:color w:val="auto"/>
                <w:highlight w:val="none"/>
              </w:rPr>
            </w:pPr>
            <w:r>
              <w:rPr>
                <w:rFonts w:hint="eastAsia" w:hAnsi="宋体"/>
                <w:color w:val="auto"/>
                <w:highlight w:val="none"/>
              </w:rPr>
              <w:t>备注</w:t>
            </w:r>
          </w:p>
        </w:tc>
      </w:tr>
      <w:tr w14:paraId="4A67F36A">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6337E784">
            <w:pPr>
              <w:pStyle w:val="240"/>
              <w:spacing w:before="0"/>
              <w:rPr>
                <w:rFonts w:hAnsi="宋体"/>
                <w:color w:val="auto"/>
                <w:highlight w:val="none"/>
              </w:rPr>
            </w:pPr>
            <w:r>
              <w:rPr>
                <w:rFonts w:hAnsi="宋体"/>
                <w:color w:val="auto"/>
                <w:highlight w:val="none"/>
              </w:rPr>
              <w:t>1</w:t>
            </w:r>
          </w:p>
        </w:tc>
        <w:tc>
          <w:tcPr>
            <w:tcW w:w="3527" w:type="dxa"/>
            <w:tcBorders>
              <w:top w:val="single" w:color="000000" w:sz="6" w:space="0"/>
              <w:left w:val="single" w:color="000000" w:sz="6" w:space="0"/>
              <w:bottom w:val="single" w:color="000000" w:sz="6" w:space="0"/>
              <w:right w:val="single" w:color="000000" w:sz="6" w:space="0"/>
            </w:tcBorders>
            <w:vAlign w:val="center"/>
          </w:tcPr>
          <w:p w14:paraId="35C6677B">
            <w:pPr>
              <w:pStyle w:val="240"/>
              <w:spacing w:before="0"/>
              <w:rPr>
                <w:rFonts w:hAnsi="宋体"/>
                <w:color w:val="auto"/>
                <w:highlight w:val="none"/>
              </w:rPr>
            </w:pPr>
          </w:p>
        </w:tc>
        <w:tc>
          <w:tcPr>
            <w:tcW w:w="2835" w:type="dxa"/>
            <w:tcBorders>
              <w:top w:val="single" w:color="000000" w:sz="4" w:space="0"/>
              <w:left w:val="single" w:color="000000" w:sz="6" w:space="0"/>
              <w:bottom w:val="single" w:color="000000" w:sz="6" w:space="0"/>
              <w:right w:val="single" w:color="000000" w:sz="6" w:space="0"/>
            </w:tcBorders>
            <w:vAlign w:val="center"/>
          </w:tcPr>
          <w:p w14:paraId="3634DED4">
            <w:pPr>
              <w:pStyle w:val="240"/>
              <w:spacing w:before="0"/>
              <w:rPr>
                <w:rFonts w:hAnsi="宋体"/>
                <w:color w:val="auto"/>
                <w:highlight w:val="none"/>
              </w:rPr>
            </w:pPr>
          </w:p>
        </w:tc>
        <w:tc>
          <w:tcPr>
            <w:tcW w:w="1418" w:type="dxa"/>
            <w:tcBorders>
              <w:top w:val="single" w:color="000000" w:sz="6" w:space="0"/>
              <w:left w:val="single" w:color="000000" w:sz="6" w:space="0"/>
              <w:bottom w:val="single" w:color="000000" w:sz="6" w:space="0"/>
              <w:right w:val="single" w:color="000000" w:sz="4" w:space="0"/>
            </w:tcBorders>
            <w:vAlign w:val="center"/>
          </w:tcPr>
          <w:p w14:paraId="23BF57B8">
            <w:pPr>
              <w:pStyle w:val="240"/>
              <w:spacing w:before="0"/>
              <w:rPr>
                <w:rFonts w:hAnsi="宋体"/>
                <w:color w:val="auto"/>
                <w:highlight w:val="none"/>
              </w:rPr>
            </w:pPr>
          </w:p>
        </w:tc>
      </w:tr>
    </w:tbl>
    <w:p w14:paraId="234D9A29">
      <w:pPr>
        <w:pStyle w:val="16"/>
        <w:spacing w:before="0" w:line="360" w:lineRule="auto"/>
        <w:ind w:left="0"/>
        <w:jc w:val="both"/>
        <w:rPr>
          <w:rFonts w:hAnsi="宋体"/>
          <w:color w:val="auto"/>
          <w:sz w:val="24"/>
          <w:szCs w:val="24"/>
          <w:highlight w:val="none"/>
        </w:rPr>
      </w:pPr>
    </w:p>
    <w:p w14:paraId="653ED83C">
      <w:pPr>
        <w:pStyle w:val="16"/>
        <w:spacing w:before="0" w:line="360" w:lineRule="auto"/>
        <w:ind w:left="0"/>
        <w:jc w:val="both"/>
        <w:rPr>
          <w:rFonts w:hAnsi="宋体"/>
          <w:color w:val="auto"/>
          <w:sz w:val="24"/>
          <w:szCs w:val="24"/>
          <w:highlight w:val="none"/>
        </w:rPr>
      </w:pPr>
    </w:p>
    <w:p w14:paraId="26197F94">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1FA967A7">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43070F88">
      <w:pPr>
        <w:spacing w:line="360" w:lineRule="auto"/>
        <w:rPr>
          <w:rFonts w:hAnsi="宋体"/>
          <w:color w:val="auto"/>
          <w:sz w:val="24"/>
          <w:szCs w:val="24"/>
          <w:highlight w:val="none"/>
        </w:rPr>
      </w:pPr>
      <w:r>
        <w:rPr>
          <w:rFonts w:hint="eastAsia" w:hAnsi="宋体"/>
          <w:color w:val="auto"/>
          <w:sz w:val="24"/>
          <w:szCs w:val="24"/>
          <w:highlight w:val="none"/>
        </w:rPr>
        <w:t>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日</w:t>
      </w:r>
    </w:p>
    <w:p w14:paraId="694E70FA">
      <w:pPr>
        <w:pStyle w:val="16"/>
        <w:spacing w:before="0" w:line="360" w:lineRule="auto"/>
        <w:ind w:left="0"/>
        <w:jc w:val="both"/>
        <w:rPr>
          <w:rFonts w:hAnsi="宋体"/>
          <w:color w:val="auto"/>
          <w:sz w:val="24"/>
          <w:szCs w:val="24"/>
          <w:highlight w:val="none"/>
        </w:rPr>
      </w:pPr>
    </w:p>
    <w:p w14:paraId="35E82296">
      <w:pPr>
        <w:spacing w:line="360" w:lineRule="auto"/>
        <w:rPr>
          <w:rFonts w:hAnsi="宋体"/>
          <w:color w:val="auto"/>
          <w:sz w:val="24"/>
          <w:szCs w:val="24"/>
          <w:highlight w:val="none"/>
        </w:rPr>
      </w:pPr>
    </w:p>
    <w:p w14:paraId="52A38F18">
      <w:pPr>
        <w:pStyle w:val="16"/>
        <w:spacing w:before="0" w:line="360" w:lineRule="auto"/>
        <w:ind w:left="0"/>
        <w:jc w:val="both"/>
        <w:rPr>
          <w:rFonts w:hAnsi="宋体"/>
          <w:color w:val="auto"/>
          <w:sz w:val="24"/>
          <w:szCs w:val="24"/>
          <w:highlight w:val="none"/>
        </w:rPr>
      </w:pPr>
    </w:p>
    <w:p w14:paraId="3E065E30">
      <w:pPr>
        <w:pStyle w:val="16"/>
        <w:spacing w:before="0" w:line="360" w:lineRule="auto"/>
        <w:ind w:left="0"/>
        <w:jc w:val="both"/>
        <w:rPr>
          <w:rFonts w:hAnsi="宋体"/>
          <w:color w:val="auto"/>
          <w:sz w:val="24"/>
          <w:szCs w:val="24"/>
          <w:highlight w:val="none"/>
        </w:rPr>
      </w:pPr>
    </w:p>
    <w:p w14:paraId="6843A6F2">
      <w:pPr>
        <w:pStyle w:val="16"/>
        <w:spacing w:before="0" w:line="360" w:lineRule="auto"/>
        <w:ind w:left="0"/>
        <w:jc w:val="both"/>
        <w:rPr>
          <w:rFonts w:hAnsi="宋体"/>
          <w:color w:val="auto"/>
          <w:sz w:val="24"/>
          <w:szCs w:val="24"/>
          <w:highlight w:val="none"/>
        </w:rPr>
      </w:pPr>
    </w:p>
    <w:p w14:paraId="76EE81FB">
      <w:pPr>
        <w:pStyle w:val="16"/>
        <w:spacing w:before="0" w:line="360" w:lineRule="auto"/>
        <w:ind w:left="0"/>
        <w:jc w:val="both"/>
        <w:rPr>
          <w:rFonts w:hAnsi="宋体"/>
          <w:color w:val="auto"/>
          <w:sz w:val="24"/>
          <w:szCs w:val="24"/>
          <w:highlight w:val="none"/>
        </w:rPr>
      </w:pPr>
    </w:p>
    <w:p w14:paraId="50B49E16">
      <w:pPr>
        <w:pStyle w:val="16"/>
        <w:spacing w:before="0" w:line="360" w:lineRule="auto"/>
        <w:ind w:left="0"/>
        <w:jc w:val="both"/>
        <w:rPr>
          <w:rFonts w:hAnsi="宋体"/>
          <w:color w:val="auto"/>
          <w:sz w:val="24"/>
          <w:szCs w:val="24"/>
          <w:highlight w:val="none"/>
        </w:rPr>
      </w:pPr>
    </w:p>
    <w:p w14:paraId="1CEE91F8">
      <w:pPr>
        <w:spacing w:line="360" w:lineRule="auto"/>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6F35D987">
      <w:pPr>
        <w:pStyle w:val="3"/>
        <w:spacing w:line="360" w:lineRule="auto"/>
        <w:ind w:left="0"/>
        <w:rPr>
          <w:rFonts w:hAnsi="宋体"/>
          <w:bCs w:val="0"/>
          <w:color w:val="auto"/>
          <w:sz w:val="24"/>
          <w:szCs w:val="24"/>
          <w:highlight w:val="none"/>
        </w:rPr>
      </w:pPr>
      <w:r>
        <w:rPr>
          <w:rFonts w:hint="eastAsia" w:hAnsi="宋体"/>
          <w:bCs w:val="0"/>
          <w:color w:val="auto"/>
          <w:sz w:val="24"/>
          <w:szCs w:val="24"/>
          <w:highlight w:val="none"/>
        </w:rPr>
        <w:t>3</w:t>
      </w:r>
      <w:r>
        <w:rPr>
          <w:rFonts w:hAnsi="宋体"/>
          <w:bCs w:val="0"/>
          <w:color w:val="auto"/>
          <w:sz w:val="24"/>
          <w:szCs w:val="24"/>
          <w:highlight w:val="none"/>
        </w:rPr>
        <w:t>-1</w:t>
      </w:r>
      <w:r>
        <w:rPr>
          <w:rFonts w:hint="eastAsia" w:hAnsi="宋体"/>
          <w:bCs w:val="0"/>
          <w:color w:val="auto"/>
          <w:sz w:val="24"/>
          <w:szCs w:val="24"/>
          <w:highlight w:val="none"/>
        </w:rPr>
        <w:t>投标报价明细表</w:t>
      </w:r>
    </w:p>
    <w:p w14:paraId="5E64604A">
      <w:pPr>
        <w:spacing w:line="360" w:lineRule="auto"/>
        <w:jc w:val="center"/>
        <w:rPr>
          <w:rFonts w:hAnsi="宋体"/>
          <w:color w:val="auto"/>
          <w:sz w:val="24"/>
          <w:szCs w:val="24"/>
          <w:highlight w:val="none"/>
        </w:rPr>
      </w:pPr>
      <w:r>
        <w:rPr>
          <w:rFonts w:hint="eastAsia" w:hAnsi="宋体"/>
          <w:color w:val="auto"/>
          <w:sz w:val="24"/>
          <w:szCs w:val="24"/>
          <w:highlight w:val="none"/>
        </w:rPr>
        <w:t>投标报价明细表</w:t>
      </w:r>
    </w:p>
    <w:p w14:paraId="3AB49726">
      <w:pPr>
        <w:spacing w:line="360" w:lineRule="auto"/>
        <w:rPr>
          <w:rFonts w:hAnsi="宋体"/>
          <w:color w:val="auto"/>
          <w:sz w:val="24"/>
          <w:szCs w:val="24"/>
          <w:highlight w:val="none"/>
        </w:rPr>
      </w:pPr>
      <w:r>
        <w:rPr>
          <w:rFonts w:hint="eastAsia" w:hAnsi="宋体"/>
          <w:color w:val="auto"/>
          <w:sz w:val="24"/>
          <w:szCs w:val="24"/>
          <w:highlight w:val="none"/>
        </w:rPr>
        <w:t>项目编号：</w:t>
      </w:r>
    </w:p>
    <w:p w14:paraId="049FAD82">
      <w:pPr>
        <w:spacing w:line="360" w:lineRule="auto"/>
        <w:rPr>
          <w:rFonts w:hAnsi="宋体"/>
          <w:color w:val="auto"/>
          <w:sz w:val="24"/>
          <w:szCs w:val="24"/>
          <w:highlight w:val="none"/>
        </w:rPr>
      </w:pPr>
      <w:r>
        <w:rPr>
          <w:rFonts w:hint="eastAsia" w:hAnsi="宋体"/>
          <w:color w:val="auto"/>
          <w:sz w:val="24"/>
          <w:szCs w:val="24"/>
          <w:highlight w:val="none"/>
        </w:rPr>
        <w:t>项目名称：</w:t>
      </w:r>
    </w:p>
    <w:tbl>
      <w:tblPr>
        <w:tblStyle w:val="42"/>
        <w:tblW w:w="1072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Layout w:type="autofit"/>
        <w:tblCellMar>
          <w:top w:w="0" w:type="dxa"/>
          <w:left w:w="108" w:type="dxa"/>
          <w:bottom w:w="0" w:type="dxa"/>
          <w:right w:w="108" w:type="dxa"/>
        </w:tblCellMar>
      </w:tblPr>
      <w:tblGrid>
        <w:gridCol w:w="699"/>
        <w:gridCol w:w="1098"/>
        <w:gridCol w:w="2339"/>
        <w:gridCol w:w="921"/>
        <w:gridCol w:w="1371"/>
        <w:gridCol w:w="650"/>
        <w:gridCol w:w="709"/>
        <w:gridCol w:w="1194"/>
        <w:gridCol w:w="1741"/>
      </w:tblGrid>
      <w:tr w14:paraId="5237DF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jc w:val="center"/>
        </w:trPr>
        <w:tc>
          <w:tcPr>
            <w:tcW w:w="699" w:type="dxa"/>
            <w:shd w:val="clear" w:color="auto" w:fill="FFFFFF" w:themeFill="background1"/>
            <w:vAlign w:val="center"/>
          </w:tcPr>
          <w:p w14:paraId="422DEC30">
            <w:pPr>
              <w:widowControl/>
              <w:jc w:val="center"/>
              <w:rPr>
                <w:rFonts w:hAnsi="宋体"/>
                <w:color w:val="auto"/>
                <w:sz w:val="21"/>
                <w:szCs w:val="21"/>
                <w:highlight w:val="none"/>
              </w:rPr>
            </w:pPr>
            <w:r>
              <w:rPr>
                <w:rFonts w:hint="eastAsia" w:hAnsi="宋体"/>
                <w:color w:val="auto"/>
                <w:sz w:val="21"/>
                <w:szCs w:val="21"/>
                <w:highlight w:val="none"/>
              </w:rPr>
              <w:t>服务项目</w:t>
            </w:r>
          </w:p>
        </w:tc>
        <w:tc>
          <w:tcPr>
            <w:tcW w:w="1098" w:type="dxa"/>
            <w:shd w:val="clear" w:color="auto" w:fill="FFFFFF" w:themeFill="background1"/>
            <w:vAlign w:val="center"/>
          </w:tcPr>
          <w:p w14:paraId="49722B82">
            <w:pPr>
              <w:widowControl/>
              <w:jc w:val="center"/>
              <w:rPr>
                <w:rFonts w:hAnsi="宋体"/>
                <w:color w:val="auto"/>
                <w:sz w:val="21"/>
                <w:szCs w:val="21"/>
                <w:highlight w:val="none"/>
              </w:rPr>
            </w:pPr>
            <w:r>
              <w:rPr>
                <w:rFonts w:hint="eastAsia" w:hAnsi="宋体"/>
                <w:color w:val="auto"/>
                <w:sz w:val="21"/>
                <w:szCs w:val="21"/>
                <w:highlight w:val="none"/>
              </w:rPr>
              <w:t>服务内容</w:t>
            </w:r>
          </w:p>
        </w:tc>
        <w:tc>
          <w:tcPr>
            <w:tcW w:w="2339" w:type="dxa"/>
            <w:shd w:val="clear" w:color="auto" w:fill="FFFFFF" w:themeFill="background1"/>
            <w:vAlign w:val="center"/>
          </w:tcPr>
          <w:p w14:paraId="670F204A">
            <w:pPr>
              <w:widowControl/>
              <w:jc w:val="center"/>
              <w:rPr>
                <w:rFonts w:hAnsi="宋体"/>
                <w:color w:val="auto"/>
                <w:sz w:val="21"/>
                <w:szCs w:val="21"/>
                <w:highlight w:val="none"/>
              </w:rPr>
            </w:pPr>
            <w:r>
              <w:rPr>
                <w:rFonts w:hint="eastAsia" w:hAnsi="宋体"/>
                <w:color w:val="auto"/>
                <w:sz w:val="21"/>
                <w:szCs w:val="21"/>
                <w:highlight w:val="none"/>
              </w:rPr>
              <w:t>工作要求</w:t>
            </w:r>
          </w:p>
        </w:tc>
        <w:tc>
          <w:tcPr>
            <w:tcW w:w="921" w:type="dxa"/>
            <w:shd w:val="clear" w:color="auto" w:fill="FFFFFF" w:themeFill="background1"/>
            <w:vAlign w:val="center"/>
          </w:tcPr>
          <w:p w14:paraId="3B004A52">
            <w:pPr>
              <w:widowControl/>
              <w:jc w:val="center"/>
              <w:rPr>
                <w:rFonts w:hAnsi="宋体"/>
                <w:color w:val="auto"/>
                <w:sz w:val="21"/>
                <w:szCs w:val="21"/>
                <w:highlight w:val="none"/>
              </w:rPr>
            </w:pPr>
            <w:r>
              <w:rPr>
                <w:rFonts w:hint="eastAsia" w:hAnsi="宋体"/>
                <w:color w:val="auto"/>
                <w:sz w:val="21"/>
                <w:szCs w:val="21"/>
                <w:highlight w:val="none"/>
              </w:rPr>
              <w:t>国省道\县道</w:t>
            </w:r>
          </w:p>
        </w:tc>
        <w:tc>
          <w:tcPr>
            <w:tcW w:w="1371" w:type="dxa"/>
            <w:shd w:val="clear" w:color="auto" w:fill="FFFFFF" w:themeFill="background1"/>
            <w:vAlign w:val="center"/>
          </w:tcPr>
          <w:p w14:paraId="68826886">
            <w:pPr>
              <w:widowControl/>
              <w:jc w:val="center"/>
              <w:rPr>
                <w:rFonts w:hAnsi="宋体"/>
                <w:color w:val="auto"/>
                <w:sz w:val="21"/>
                <w:szCs w:val="21"/>
                <w:highlight w:val="none"/>
              </w:rPr>
            </w:pPr>
            <w:r>
              <w:rPr>
                <w:rFonts w:hint="eastAsia" w:hAnsi="宋体"/>
                <w:color w:val="auto"/>
                <w:sz w:val="21"/>
                <w:szCs w:val="21"/>
                <w:highlight w:val="none"/>
              </w:rPr>
              <w:t>服务期限</w:t>
            </w:r>
          </w:p>
        </w:tc>
        <w:tc>
          <w:tcPr>
            <w:tcW w:w="650" w:type="dxa"/>
            <w:shd w:val="clear" w:color="auto" w:fill="FFFFFF" w:themeFill="background1"/>
            <w:vAlign w:val="center"/>
          </w:tcPr>
          <w:p w14:paraId="61997FCF">
            <w:pPr>
              <w:widowControl/>
              <w:jc w:val="center"/>
              <w:rPr>
                <w:rFonts w:hAnsi="宋体"/>
                <w:color w:val="auto"/>
                <w:sz w:val="21"/>
                <w:szCs w:val="21"/>
                <w:highlight w:val="none"/>
              </w:rPr>
            </w:pPr>
            <w:r>
              <w:rPr>
                <w:rFonts w:hint="eastAsia" w:hAnsi="宋体"/>
                <w:color w:val="auto"/>
                <w:sz w:val="21"/>
                <w:szCs w:val="21"/>
                <w:highlight w:val="none"/>
              </w:rPr>
              <w:t>单位</w:t>
            </w:r>
          </w:p>
        </w:tc>
        <w:tc>
          <w:tcPr>
            <w:tcW w:w="709" w:type="dxa"/>
            <w:shd w:val="clear" w:color="auto" w:fill="FFFFFF" w:themeFill="background1"/>
            <w:vAlign w:val="center"/>
          </w:tcPr>
          <w:p w14:paraId="6A286D09">
            <w:pPr>
              <w:widowControl/>
              <w:jc w:val="center"/>
              <w:rPr>
                <w:rFonts w:hAnsi="宋体"/>
                <w:color w:val="auto"/>
                <w:sz w:val="21"/>
                <w:szCs w:val="21"/>
                <w:highlight w:val="none"/>
              </w:rPr>
            </w:pPr>
            <w:r>
              <w:rPr>
                <w:rFonts w:hint="eastAsia" w:hAnsi="宋体"/>
                <w:color w:val="auto"/>
                <w:sz w:val="21"/>
                <w:szCs w:val="21"/>
                <w:highlight w:val="none"/>
              </w:rPr>
              <w:t>数量</w:t>
            </w:r>
          </w:p>
        </w:tc>
        <w:tc>
          <w:tcPr>
            <w:tcW w:w="1194" w:type="dxa"/>
            <w:shd w:val="clear" w:color="auto" w:fill="FFFFFF" w:themeFill="background1"/>
            <w:vAlign w:val="center"/>
          </w:tcPr>
          <w:p w14:paraId="2AECDF0C">
            <w:pPr>
              <w:widowControl/>
              <w:jc w:val="center"/>
              <w:rPr>
                <w:rFonts w:hint="eastAsia" w:hAnsi="宋体" w:eastAsia="宋体"/>
                <w:color w:val="auto"/>
                <w:sz w:val="21"/>
                <w:szCs w:val="21"/>
                <w:highlight w:val="none"/>
                <w:lang w:val="en-US" w:eastAsia="zh-CN"/>
              </w:rPr>
            </w:pPr>
            <w:r>
              <w:rPr>
                <w:rFonts w:hint="eastAsia" w:hAnsi="宋体"/>
                <w:color w:val="auto"/>
                <w:sz w:val="21"/>
                <w:szCs w:val="21"/>
                <w:highlight w:val="none"/>
                <w:lang w:val="en-US" w:eastAsia="zh-CN"/>
              </w:rPr>
              <w:t>投标报价（元）</w:t>
            </w:r>
          </w:p>
        </w:tc>
        <w:tc>
          <w:tcPr>
            <w:tcW w:w="1741" w:type="dxa"/>
            <w:shd w:val="clear" w:color="auto" w:fill="FFFFFF" w:themeFill="background1"/>
            <w:vAlign w:val="center"/>
          </w:tcPr>
          <w:p w14:paraId="05DFB24B">
            <w:pPr>
              <w:widowControl/>
              <w:jc w:val="center"/>
              <w:rPr>
                <w:rFonts w:hAnsi="宋体"/>
                <w:color w:val="auto"/>
                <w:sz w:val="21"/>
                <w:szCs w:val="21"/>
                <w:highlight w:val="none"/>
              </w:rPr>
            </w:pPr>
            <w:r>
              <w:rPr>
                <w:rFonts w:hint="eastAsia" w:hAnsi="宋体"/>
                <w:color w:val="auto"/>
                <w:sz w:val="21"/>
                <w:szCs w:val="21"/>
                <w:highlight w:val="none"/>
              </w:rPr>
              <w:t>备注</w:t>
            </w:r>
          </w:p>
        </w:tc>
      </w:tr>
      <w:tr w14:paraId="7649AD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trHeight w:val="477" w:hRule="atLeast"/>
          <w:jc w:val="center"/>
        </w:trPr>
        <w:tc>
          <w:tcPr>
            <w:tcW w:w="699" w:type="dxa"/>
            <w:vMerge w:val="restart"/>
            <w:shd w:val="clear" w:color="auto" w:fill="FFFFFF" w:themeFill="background1"/>
            <w:noWrap/>
            <w:vAlign w:val="center"/>
          </w:tcPr>
          <w:p w14:paraId="048482A1">
            <w:pPr>
              <w:widowControl/>
              <w:jc w:val="center"/>
              <w:rPr>
                <w:rFonts w:hAnsi="宋体"/>
                <w:color w:val="auto"/>
                <w:sz w:val="21"/>
                <w:szCs w:val="21"/>
                <w:highlight w:val="none"/>
              </w:rPr>
            </w:pPr>
            <w:r>
              <w:rPr>
                <w:rFonts w:hint="eastAsia" w:hAnsi="宋体"/>
                <w:color w:val="auto"/>
                <w:sz w:val="21"/>
                <w:szCs w:val="21"/>
                <w:highlight w:val="none"/>
              </w:rPr>
              <w:t>人工保洁</w:t>
            </w:r>
          </w:p>
        </w:tc>
        <w:tc>
          <w:tcPr>
            <w:tcW w:w="1098" w:type="dxa"/>
            <w:vMerge w:val="restart"/>
            <w:shd w:val="clear" w:color="auto" w:fill="FFFFFF" w:themeFill="background1"/>
            <w:vAlign w:val="center"/>
          </w:tcPr>
          <w:p w14:paraId="3D6927C8">
            <w:pPr>
              <w:widowControl/>
              <w:jc w:val="center"/>
              <w:rPr>
                <w:rFonts w:hAnsi="宋体"/>
                <w:color w:val="auto"/>
                <w:sz w:val="21"/>
                <w:szCs w:val="21"/>
                <w:highlight w:val="none"/>
              </w:rPr>
            </w:pPr>
            <w:r>
              <w:rPr>
                <w:rFonts w:hint="eastAsia" w:hAnsi="宋体"/>
                <w:color w:val="auto"/>
                <w:sz w:val="21"/>
                <w:szCs w:val="21"/>
                <w:highlight w:val="none"/>
              </w:rPr>
              <w:t>路肩清理</w:t>
            </w:r>
          </w:p>
        </w:tc>
        <w:tc>
          <w:tcPr>
            <w:tcW w:w="2339" w:type="dxa"/>
            <w:vMerge w:val="restart"/>
            <w:shd w:val="clear" w:color="auto" w:fill="FFFFFF" w:themeFill="background1"/>
            <w:vAlign w:val="center"/>
          </w:tcPr>
          <w:p w14:paraId="1554D4E2">
            <w:pPr>
              <w:widowControl/>
              <w:rPr>
                <w:rFonts w:hAnsi="宋体"/>
                <w:color w:val="auto"/>
                <w:sz w:val="21"/>
                <w:szCs w:val="21"/>
                <w:highlight w:val="none"/>
              </w:rPr>
            </w:pPr>
            <w:r>
              <w:rPr>
                <w:rFonts w:hint="eastAsia" w:hAnsi="宋体"/>
                <w:color w:val="auto"/>
                <w:sz w:val="21"/>
                <w:szCs w:val="21"/>
                <w:highlight w:val="none"/>
              </w:rPr>
              <w:t>1.杂草修剪，杂物清除;2.废料装卸、运输、定点堆放；3.确保路肩无高草、杂物。</w:t>
            </w:r>
          </w:p>
        </w:tc>
        <w:tc>
          <w:tcPr>
            <w:tcW w:w="921" w:type="dxa"/>
            <w:shd w:val="clear" w:color="auto" w:fill="FFFFFF" w:themeFill="background1"/>
            <w:vAlign w:val="center"/>
          </w:tcPr>
          <w:p w14:paraId="47515781">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2AD5129F">
            <w:pPr>
              <w:widowControl/>
              <w:jc w:val="center"/>
              <w:rPr>
                <w:rFonts w:hAnsi="宋体"/>
                <w:color w:val="auto"/>
                <w:sz w:val="21"/>
                <w:szCs w:val="21"/>
                <w:highlight w:val="none"/>
              </w:rPr>
            </w:pPr>
            <w:r>
              <w:rPr>
                <w:rFonts w:hint="eastAsia" w:hAnsi="宋体"/>
                <w:color w:val="auto"/>
                <w:sz w:val="21"/>
                <w:szCs w:val="21"/>
                <w:highlight w:val="none"/>
              </w:rPr>
              <w:t>2026.08.01-2027.07.31</w:t>
            </w:r>
          </w:p>
        </w:tc>
        <w:tc>
          <w:tcPr>
            <w:tcW w:w="650" w:type="dxa"/>
            <w:vMerge w:val="restart"/>
            <w:shd w:val="clear" w:color="auto" w:fill="FFFFFF" w:themeFill="background1"/>
            <w:vAlign w:val="center"/>
          </w:tcPr>
          <w:p w14:paraId="156C6F51">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3BA216FC">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BA09149">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3B4A81B7">
            <w:pPr>
              <w:widowControl/>
              <w:jc w:val="both"/>
              <w:rPr>
                <w:rFonts w:hAnsi="宋体"/>
                <w:color w:val="auto"/>
                <w:sz w:val="21"/>
                <w:szCs w:val="21"/>
                <w:highlight w:val="none"/>
              </w:rPr>
            </w:pPr>
          </w:p>
        </w:tc>
      </w:tr>
      <w:tr w14:paraId="7A0E4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C33AE36">
            <w:pPr>
              <w:widowControl/>
              <w:rPr>
                <w:rFonts w:hAnsi="宋体"/>
                <w:color w:val="auto"/>
                <w:sz w:val="21"/>
                <w:szCs w:val="21"/>
                <w:highlight w:val="none"/>
              </w:rPr>
            </w:pPr>
          </w:p>
        </w:tc>
        <w:tc>
          <w:tcPr>
            <w:tcW w:w="1098" w:type="dxa"/>
            <w:vMerge w:val="continue"/>
            <w:shd w:val="clear" w:color="auto" w:fill="FFFFFF" w:themeFill="background1"/>
            <w:vAlign w:val="center"/>
          </w:tcPr>
          <w:p w14:paraId="100980B1">
            <w:pPr>
              <w:widowControl/>
              <w:rPr>
                <w:rFonts w:hAnsi="宋体"/>
                <w:color w:val="auto"/>
                <w:sz w:val="21"/>
                <w:szCs w:val="21"/>
                <w:highlight w:val="none"/>
              </w:rPr>
            </w:pPr>
          </w:p>
        </w:tc>
        <w:tc>
          <w:tcPr>
            <w:tcW w:w="2339" w:type="dxa"/>
            <w:vMerge w:val="continue"/>
            <w:shd w:val="clear" w:color="auto" w:fill="FFFFFF" w:themeFill="background1"/>
            <w:vAlign w:val="center"/>
          </w:tcPr>
          <w:p w14:paraId="7AF6B3CF">
            <w:pPr>
              <w:widowControl/>
              <w:rPr>
                <w:rFonts w:hAnsi="宋体"/>
                <w:color w:val="auto"/>
                <w:sz w:val="21"/>
                <w:szCs w:val="21"/>
                <w:highlight w:val="none"/>
              </w:rPr>
            </w:pPr>
          </w:p>
        </w:tc>
        <w:tc>
          <w:tcPr>
            <w:tcW w:w="921" w:type="dxa"/>
            <w:shd w:val="clear" w:color="auto" w:fill="FFFFFF" w:themeFill="background1"/>
            <w:vAlign w:val="center"/>
          </w:tcPr>
          <w:p w14:paraId="46ADCEB3">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368A2F31">
            <w:pPr>
              <w:widowControl/>
              <w:rPr>
                <w:rFonts w:hAnsi="宋体"/>
                <w:color w:val="auto"/>
                <w:sz w:val="21"/>
                <w:szCs w:val="21"/>
                <w:highlight w:val="none"/>
              </w:rPr>
            </w:pPr>
          </w:p>
        </w:tc>
        <w:tc>
          <w:tcPr>
            <w:tcW w:w="650" w:type="dxa"/>
            <w:vMerge w:val="continue"/>
            <w:shd w:val="clear" w:color="auto" w:fill="FFFFFF" w:themeFill="background1"/>
            <w:vAlign w:val="center"/>
          </w:tcPr>
          <w:p w14:paraId="5D7C301E">
            <w:pPr>
              <w:widowControl/>
              <w:rPr>
                <w:rFonts w:hAnsi="宋体"/>
                <w:color w:val="auto"/>
                <w:sz w:val="21"/>
                <w:szCs w:val="21"/>
                <w:highlight w:val="none"/>
              </w:rPr>
            </w:pPr>
          </w:p>
        </w:tc>
        <w:tc>
          <w:tcPr>
            <w:tcW w:w="709" w:type="dxa"/>
            <w:shd w:val="clear" w:color="auto" w:fill="FFFFFF" w:themeFill="background1"/>
            <w:vAlign w:val="center"/>
          </w:tcPr>
          <w:p w14:paraId="6600B310">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313DE56">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30DCFA96">
            <w:pPr>
              <w:widowControl/>
              <w:jc w:val="center"/>
              <w:rPr>
                <w:rFonts w:hAnsi="宋体"/>
                <w:color w:val="auto"/>
                <w:sz w:val="21"/>
                <w:szCs w:val="21"/>
                <w:highlight w:val="none"/>
              </w:rPr>
            </w:pPr>
          </w:p>
        </w:tc>
      </w:tr>
      <w:tr w14:paraId="4976B1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trHeight w:val="552" w:hRule="atLeast"/>
          <w:jc w:val="center"/>
        </w:trPr>
        <w:tc>
          <w:tcPr>
            <w:tcW w:w="699" w:type="dxa"/>
            <w:vMerge w:val="continue"/>
            <w:shd w:val="clear" w:color="auto" w:fill="FFFFFF" w:themeFill="background1"/>
            <w:vAlign w:val="center"/>
          </w:tcPr>
          <w:p w14:paraId="3A47EA17">
            <w:pPr>
              <w:widowControl/>
              <w:rPr>
                <w:rFonts w:hAnsi="宋体"/>
                <w:color w:val="auto"/>
                <w:sz w:val="21"/>
                <w:szCs w:val="21"/>
                <w:highlight w:val="none"/>
              </w:rPr>
            </w:pPr>
          </w:p>
        </w:tc>
        <w:tc>
          <w:tcPr>
            <w:tcW w:w="1098" w:type="dxa"/>
            <w:vMerge w:val="restart"/>
            <w:shd w:val="clear" w:color="auto" w:fill="FFFFFF" w:themeFill="background1"/>
            <w:vAlign w:val="center"/>
          </w:tcPr>
          <w:p w14:paraId="693768E7">
            <w:pPr>
              <w:widowControl/>
              <w:jc w:val="center"/>
              <w:rPr>
                <w:rFonts w:hAnsi="宋体"/>
                <w:color w:val="auto"/>
                <w:sz w:val="21"/>
                <w:szCs w:val="21"/>
                <w:highlight w:val="none"/>
              </w:rPr>
            </w:pPr>
            <w:r>
              <w:rPr>
                <w:rFonts w:hint="eastAsia" w:hAnsi="宋体"/>
                <w:color w:val="auto"/>
                <w:sz w:val="21"/>
                <w:szCs w:val="21"/>
                <w:highlight w:val="none"/>
              </w:rPr>
              <w:t>防护清理</w:t>
            </w:r>
          </w:p>
        </w:tc>
        <w:tc>
          <w:tcPr>
            <w:tcW w:w="2339" w:type="dxa"/>
            <w:vMerge w:val="restart"/>
            <w:shd w:val="clear" w:color="auto" w:fill="FFFFFF" w:themeFill="background1"/>
            <w:vAlign w:val="center"/>
          </w:tcPr>
          <w:p w14:paraId="0388A4A8">
            <w:pPr>
              <w:widowControl/>
              <w:rPr>
                <w:rFonts w:hAnsi="宋体"/>
                <w:color w:val="auto"/>
                <w:sz w:val="21"/>
                <w:szCs w:val="21"/>
                <w:highlight w:val="none"/>
              </w:rPr>
            </w:pPr>
            <w:r>
              <w:rPr>
                <w:rFonts w:hint="eastAsia" w:hAnsi="宋体"/>
                <w:color w:val="auto"/>
                <w:sz w:val="21"/>
                <w:szCs w:val="21"/>
                <w:highlight w:val="none"/>
              </w:rPr>
              <w:t>1.坡面整理，缺口培土;2.杂草修剪，杂物清除;3.排(泄)水孔疏通;4.废料装卸、运输、定点堆放。</w:t>
            </w:r>
          </w:p>
        </w:tc>
        <w:tc>
          <w:tcPr>
            <w:tcW w:w="921" w:type="dxa"/>
            <w:shd w:val="clear" w:color="auto" w:fill="FFFFFF" w:themeFill="background1"/>
            <w:vAlign w:val="center"/>
          </w:tcPr>
          <w:p w14:paraId="286ECCA3">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4EA2DC96">
            <w:pPr>
              <w:widowControl/>
              <w:rPr>
                <w:rFonts w:hAnsi="宋体"/>
                <w:color w:val="auto"/>
                <w:sz w:val="21"/>
                <w:szCs w:val="21"/>
                <w:highlight w:val="none"/>
              </w:rPr>
            </w:pPr>
          </w:p>
        </w:tc>
        <w:tc>
          <w:tcPr>
            <w:tcW w:w="650" w:type="dxa"/>
            <w:vMerge w:val="restart"/>
            <w:shd w:val="clear" w:color="auto" w:fill="FFFFFF" w:themeFill="background1"/>
            <w:vAlign w:val="center"/>
          </w:tcPr>
          <w:p w14:paraId="4D82A816">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7E17A2AD">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39E0978A">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405D6172">
            <w:pPr>
              <w:widowControl/>
              <w:jc w:val="center"/>
              <w:rPr>
                <w:rFonts w:hAnsi="宋体"/>
                <w:color w:val="auto"/>
                <w:sz w:val="21"/>
                <w:szCs w:val="21"/>
                <w:highlight w:val="none"/>
              </w:rPr>
            </w:pPr>
          </w:p>
        </w:tc>
      </w:tr>
      <w:tr w14:paraId="46EE95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5AAEDCD">
            <w:pPr>
              <w:widowControl/>
              <w:rPr>
                <w:rFonts w:hAnsi="宋体"/>
                <w:color w:val="auto"/>
                <w:sz w:val="21"/>
                <w:szCs w:val="21"/>
                <w:highlight w:val="none"/>
              </w:rPr>
            </w:pPr>
          </w:p>
        </w:tc>
        <w:tc>
          <w:tcPr>
            <w:tcW w:w="1098" w:type="dxa"/>
            <w:vMerge w:val="continue"/>
            <w:shd w:val="clear" w:color="auto" w:fill="FFFFFF" w:themeFill="background1"/>
            <w:vAlign w:val="center"/>
          </w:tcPr>
          <w:p w14:paraId="71E16738">
            <w:pPr>
              <w:widowControl/>
              <w:rPr>
                <w:rFonts w:hAnsi="宋体"/>
                <w:color w:val="auto"/>
                <w:sz w:val="21"/>
                <w:szCs w:val="21"/>
                <w:highlight w:val="none"/>
              </w:rPr>
            </w:pPr>
          </w:p>
        </w:tc>
        <w:tc>
          <w:tcPr>
            <w:tcW w:w="2339" w:type="dxa"/>
            <w:vMerge w:val="continue"/>
            <w:shd w:val="clear" w:color="auto" w:fill="FFFFFF" w:themeFill="background1"/>
            <w:vAlign w:val="center"/>
          </w:tcPr>
          <w:p w14:paraId="2AA08E4D">
            <w:pPr>
              <w:widowControl/>
              <w:rPr>
                <w:rFonts w:hAnsi="宋体"/>
                <w:color w:val="auto"/>
                <w:sz w:val="21"/>
                <w:szCs w:val="21"/>
                <w:highlight w:val="none"/>
              </w:rPr>
            </w:pPr>
          </w:p>
        </w:tc>
        <w:tc>
          <w:tcPr>
            <w:tcW w:w="921" w:type="dxa"/>
            <w:shd w:val="clear" w:color="auto" w:fill="FFFFFF" w:themeFill="background1"/>
            <w:vAlign w:val="center"/>
          </w:tcPr>
          <w:p w14:paraId="77652713">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57852AA3">
            <w:pPr>
              <w:widowControl/>
              <w:rPr>
                <w:rFonts w:hAnsi="宋体"/>
                <w:color w:val="auto"/>
                <w:sz w:val="21"/>
                <w:szCs w:val="21"/>
                <w:highlight w:val="none"/>
              </w:rPr>
            </w:pPr>
          </w:p>
        </w:tc>
        <w:tc>
          <w:tcPr>
            <w:tcW w:w="650" w:type="dxa"/>
            <w:vMerge w:val="continue"/>
            <w:shd w:val="clear" w:color="auto" w:fill="FFFFFF" w:themeFill="background1"/>
            <w:vAlign w:val="center"/>
          </w:tcPr>
          <w:p w14:paraId="63BD1D7F">
            <w:pPr>
              <w:widowControl/>
              <w:rPr>
                <w:rFonts w:hAnsi="宋体"/>
                <w:color w:val="auto"/>
                <w:sz w:val="21"/>
                <w:szCs w:val="21"/>
                <w:highlight w:val="none"/>
              </w:rPr>
            </w:pPr>
          </w:p>
        </w:tc>
        <w:tc>
          <w:tcPr>
            <w:tcW w:w="709" w:type="dxa"/>
            <w:shd w:val="clear" w:color="auto" w:fill="FFFFFF" w:themeFill="background1"/>
            <w:vAlign w:val="center"/>
          </w:tcPr>
          <w:p w14:paraId="6487EB98">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65EC8F0D">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38D2057A">
            <w:pPr>
              <w:widowControl/>
              <w:jc w:val="center"/>
              <w:rPr>
                <w:rFonts w:hAnsi="宋体"/>
                <w:color w:val="auto"/>
                <w:sz w:val="21"/>
                <w:szCs w:val="21"/>
                <w:highlight w:val="none"/>
              </w:rPr>
            </w:pPr>
          </w:p>
        </w:tc>
      </w:tr>
      <w:tr w14:paraId="68862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jc w:val="center"/>
        </w:trPr>
        <w:tc>
          <w:tcPr>
            <w:tcW w:w="699" w:type="dxa"/>
            <w:vMerge w:val="continue"/>
            <w:shd w:val="clear" w:color="auto" w:fill="FFFFFF" w:themeFill="background1"/>
            <w:vAlign w:val="center"/>
          </w:tcPr>
          <w:p w14:paraId="004D4BEC">
            <w:pPr>
              <w:widowControl/>
              <w:rPr>
                <w:rFonts w:hAnsi="宋体"/>
                <w:color w:val="auto"/>
                <w:sz w:val="21"/>
                <w:szCs w:val="21"/>
                <w:highlight w:val="none"/>
              </w:rPr>
            </w:pPr>
          </w:p>
        </w:tc>
        <w:tc>
          <w:tcPr>
            <w:tcW w:w="1098" w:type="dxa"/>
            <w:vMerge w:val="restart"/>
            <w:shd w:val="clear" w:color="auto" w:fill="FFFFFF" w:themeFill="background1"/>
            <w:vAlign w:val="center"/>
          </w:tcPr>
          <w:p w14:paraId="5D7A7026">
            <w:pPr>
              <w:widowControl/>
              <w:jc w:val="center"/>
              <w:rPr>
                <w:rFonts w:hAnsi="宋体"/>
                <w:color w:val="auto"/>
                <w:sz w:val="21"/>
                <w:szCs w:val="21"/>
                <w:highlight w:val="none"/>
              </w:rPr>
            </w:pPr>
            <w:r>
              <w:rPr>
                <w:rFonts w:hint="eastAsia" w:hAnsi="宋体"/>
                <w:color w:val="auto"/>
                <w:sz w:val="21"/>
                <w:szCs w:val="21"/>
                <w:highlight w:val="none"/>
              </w:rPr>
              <w:t>排水设施清理</w:t>
            </w:r>
          </w:p>
        </w:tc>
        <w:tc>
          <w:tcPr>
            <w:tcW w:w="2339" w:type="dxa"/>
            <w:vMerge w:val="restart"/>
            <w:shd w:val="clear" w:color="auto" w:fill="FFFFFF" w:themeFill="background1"/>
            <w:vAlign w:val="center"/>
          </w:tcPr>
          <w:p w14:paraId="518908FA">
            <w:pPr>
              <w:widowControl/>
              <w:rPr>
                <w:rFonts w:hAnsi="宋体"/>
                <w:color w:val="auto"/>
                <w:sz w:val="21"/>
                <w:szCs w:val="21"/>
                <w:highlight w:val="none"/>
              </w:rPr>
            </w:pPr>
            <w:r>
              <w:rPr>
                <w:rFonts w:hint="eastAsia" w:hAnsi="宋体"/>
                <w:color w:val="auto"/>
                <w:sz w:val="21"/>
                <w:szCs w:val="21"/>
                <w:highlight w:val="none"/>
              </w:rPr>
              <w:t>1.垃圾、杂物、淤积物等清理;2.疏通;3.废料装卸、运输、定点堆放；4.土边沟开设。</w:t>
            </w:r>
          </w:p>
        </w:tc>
        <w:tc>
          <w:tcPr>
            <w:tcW w:w="921" w:type="dxa"/>
            <w:shd w:val="clear" w:color="auto" w:fill="FFFFFF" w:themeFill="background1"/>
            <w:vAlign w:val="center"/>
          </w:tcPr>
          <w:p w14:paraId="003D67D9">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65B2501">
            <w:pPr>
              <w:widowControl/>
              <w:rPr>
                <w:rFonts w:hAnsi="宋体"/>
                <w:color w:val="auto"/>
                <w:sz w:val="21"/>
                <w:szCs w:val="21"/>
                <w:highlight w:val="none"/>
              </w:rPr>
            </w:pPr>
          </w:p>
        </w:tc>
        <w:tc>
          <w:tcPr>
            <w:tcW w:w="650" w:type="dxa"/>
            <w:vMerge w:val="restart"/>
            <w:shd w:val="clear" w:color="auto" w:fill="FFFFFF" w:themeFill="background1"/>
            <w:vAlign w:val="center"/>
          </w:tcPr>
          <w:p w14:paraId="4D3F8F97">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200E0FAE">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389DB7AD">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1A74F4F0">
            <w:pPr>
              <w:widowControl/>
              <w:jc w:val="center"/>
              <w:rPr>
                <w:rFonts w:hAnsi="宋体"/>
                <w:color w:val="auto"/>
                <w:sz w:val="21"/>
                <w:szCs w:val="21"/>
                <w:highlight w:val="none"/>
              </w:rPr>
            </w:pPr>
          </w:p>
        </w:tc>
      </w:tr>
      <w:tr w14:paraId="1F6845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1EC4527">
            <w:pPr>
              <w:widowControl/>
              <w:rPr>
                <w:rFonts w:hAnsi="宋体"/>
                <w:color w:val="auto"/>
                <w:sz w:val="21"/>
                <w:szCs w:val="21"/>
                <w:highlight w:val="none"/>
              </w:rPr>
            </w:pPr>
          </w:p>
        </w:tc>
        <w:tc>
          <w:tcPr>
            <w:tcW w:w="1098" w:type="dxa"/>
            <w:vMerge w:val="continue"/>
            <w:shd w:val="clear" w:color="auto" w:fill="FFFFFF" w:themeFill="background1"/>
            <w:vAlign w:val="center"/>
          </w:tcPr>
          <w:p w14:paraId="678E422A">
            <w:pPr>
              <w:widowControl/>
              <w:rPr>
                <w:rFonts w:hAnsi="宋体"/>
                <w:color w:val="auto"/>
                <w:sz w:val="21"/>
                <w:szCs w:val="21"/>
                <w:highlight w:val="none"/>
              </w:rPr>
            </w:pPr>
          </w:p>
        </w:tc>
        <w:tc>
          <w:tcPr>
            <w:tcW w:w="2339" w:type="dxa"/>
            <w:vMerge w:val="continue"/>
            <w:shd w:val="clear" w:color="auto" w:fill="FFFFFF" w:themeFill="background1"/>
            <w:vAlign w:val="center"/>
          </w:tcPr>
          <w:p w14:paraId="6BC4B692">
            <w:pPr>
              <w:widowControl/>
              <w:rPr>
                <w:rFonts w:hAnsi="宋体"/>
                <w:color w:val="auto"/>
                <w:sz w:val="21"/>
                <w:szCs w:val="21"/>
                <w:highlight w:val="none"/>
              </w:rPr>
            </w:pPr>
          </w:p>
        </w:tc>
        <w:tc>
          <w:tcPr>
            <w:tcW w:w="921" w:type="dxa"/>
            <w:shd w:val="clear" w:color="auto" w:fill="FFFFFF" w:themeFill="background1"/>
            <w:vAlign w:val="center"/>
          </w:tcPr>
          <w:p w14:paraId="4DF745EA">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2B102A55">
            <w:pPr>
              <w:widowControl/>
              <w:rPr>
                <w:rFonts w:hAnsi="宋体"/>
                <w:color w:val="auto"/>
                <w:sz w:val="21"/>
                <w:szCs w:val="21"/>
                <w:highlight w:val="none"/>
              </w:rPr>
            </w:pPr>
          </w:p>
        </w:tc>
        <w:tc>
          <w:tcPr>
            <w:tcW w:w="650" w:type="dxa"/>
            <w:vMerge w:val="continue"/>
            <w:shd w:val="clear" w:color="auto" w:fill="FFFFFF" w:themeFill="background1"/>
            <w:vAlign w:val="center"/>
          </w:tcPr>
          <w:p w14:paraId="3BBE54A1">
            <w:pPr>
              <w:widowControl/>
              <w:rPr>
                <w:rFonts w:hAnsi="宋体"/>
                <w:color w:val="auto"/>
                <w:sz w:val="21"/>
                <w:szCs w:val="21"/>
                <w:highlight w:val="none"/>
              </w:rPr>
            </w:pPr>
          </w:p>
        </w:tc>
        <w:tc>
          <w:tcPr>
            <w:tcW w:w="709" w:type="dxa"/>
            <w:shd w:val="clear" w:color="auto" w:fill="FFFFFF" w:themeFill="background1"/>
            <w:vAlign w:val="center"/>
          </w:tcPr>
          <w:p w14:paraId="4E206F2C">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9F7C8A5">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39AF0202">
            <w:pPr>
              <w:widowControl/>
              <w:jc w:val="center"/>
              <w:rPr>
                <w:rFonts w:hAnsi="宋体"/>
                <w:color w:val="auto"/>
                <w:sz w:val="21"/>
                <w:szCs w:val="21"/>
                <w:highlight w:val="none"/>
              </w:rPr>
            </w:pPr>
          </w:p>
        </w:tc>
      </w:tr>
      <w:tr w14:paraId="59E311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52" w:hRule="atLeast"/>
          <w:jc w:val="center"/>
        </w:trPr>
        <w:tc>
          <w:tcPr>
            <w:tcW w:w="699" w:type="dxa"/>
            <w:vMerge w:val="continue"/>
            <w:shd w:val="clear" w:color="auto" w:fill="FFFFFF" w:themeFill="background1"/>
            <w:vAlign w:val="center"/>
          </w:tcPr>
          <w:p w14:paraId="0DB6E751">
            <w:pPr>
              <w:widowControl/>
              <w:rPr>
                <w:rFonts w:hAnsi="宋体"/>
                <w:color w:val="auto"/>
                <w:sz w:val="21"/>
                <w:szCs w:val="21"/>
                <w:highlight w:val="none"/>
              </w:rPr>
            </w:pPr>
          </w:p>
        </w:tc>
        <w:tc>
          <w:tcPr>
            <w:tcW w:w="1098" w:type="dxa"/>
            <w:vMerge w:val="restart"/>
            <w:shd w:val="clear" w:color="auto" w:fill="FFFFFF" w:themeFill="background1"/>
            <w:vAlign w:val="center"/>
          </w:tcPr>
          <w:p w14:paraId="411BA87E">
            <w:pPr>
              <w:widowControl/>
              <w:jc w:val="center"/>
              <w:rPr>
                <w:rFonts w:hAnsi="宋体"/>
                <w:color w:val="auto"/>
                <w:sz w:val="21"/>
                <w:szCs w:val="21"/>
                <w:highlight w:val="none"/>
              </w:rPr>
            </w:pPr>
            <w:r>
              <w:rPr>
                <w:rFonts w:hint="eastAsia" w:hAnsi="宋体"/>
                <w:color w:val="auto"/>
                <w:sz w:val="21"/>
                <w:szCs w:val="21"/>
                <w:highlight w:val="none"/>
              </w:rPr>
              <w:t>人工清扫</w:t>
            </w:r>
          </w:p>
        </w:tc>
        <w:tc>
          <w:tcPr>
            <w:tcW w:w="2339" w:type="dxa"/>
            <w:vMerge w:val="restart"/>
            <w:shd w:val="clear" w:color="auto" w:fill="FFFFFF" w:themeFill="background1"/>
            <w:vAlign w:val="center"/>
          </w:tcPr>
          <w:p w14:paraId="1E264739">
            <w:pPr>
              <w:widowControl/>
              <w:rPr>
                <w:rFonts w:hAnsi="宋体"/>
                <w:color w:val="auto"/>
                <w:sz w:val="21"/>
                <w:szCs w:val="21"/>
                <w:highlight w:val="none"/>
              </w:rPr>
            </w:pPr>
            <w:r>
              <w:rPr>
                <w:rFonts w:hint="eastAsia" w:hAnsi="宋体"/>
                <w:color w:val="auto"/>
                <w:sz w:val="21"/>
                <w:szCs w:val="21"/>
                <w:highlight w:val="none"/>
              </w:rPr>
              <w:t>1.人工捡拾或清扫;2.废料装卸、运输、定点堆放。</w:t>
            </w:r>
          </w:p>
        </w:tc>
        <w:tc>
          <w:tcPr>
            <w:tcW w:w="921" w:type="dxa"/>
            <w:shd w:val="clear" w:color="auto" w:fill="FFFFFF" w:themeFill="background1"/>
            <w:vAlign w:val="center"/>
          </w:tcPr>
          <w:p w14:paraId="7A91F2C0">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524C19C6">
            <w:pPr>
              <w:widowControl/>
              <w:rPr>
                <w:rFonts w:hAnsi="宋体"/>
                <w:color w:val="auto"/>
                <w:sz w:val="21"/>
                <w:szCs w:val="21"/>
                <w:highlight w:val="none"/>
              </w:rPr>
            </w:pPr>
          </w:p>
        </w:tc>
        <w:tc>
          <w:tcPr>
            <w:tcW w:w="650" w:type="dxa"/>
            <w:vMerge w:val="restart"/>
            <w:shd w:val="clear" w:color="auto" w:fill="FFFFFF" w:themeFill="background1"/>
            <w:vAlign w:val="center"/>
          </w:tcPr>
          <w:p w14:paraId="40F09197">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3D993A54">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5B73033D">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49E7905D">
            <w:pPr>
              <w:widowControl/>
              <w:jc w:val="center"/>
              <w:rPr>
                <w:rFonts w:hAnsi="宋体"/>
                <w:color w:val="auto"/>
                <w:sz w:val="21"/>
                <w:szCs w:val="21"/>
                <w:highlight w:val="none"/>
              </w:rPr>
            </w:pPr>
            <w:r>
              <w:rPr>
                <w:rFonts w:hint="eastAsia" w:hAnsi="宋体"/>
                <w:color w:val="auto"/>
                <w:sz w:val="21"/>
                <w:szCs w:val="21"/>
                <w:highlight w:val="none"/>
              </w:rPr>
              <w:t>平均每1.5km配一个保洁员，每天作业时间不少于6.5小时。</w:t>
            </w:r>
          </w:p>
        </w:tc>
      </w:tr>
      <w:tr w14:paraId="14760D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13C7B549">
            <w:pPr>
              <w:widowControl/>
              <w:rPr>
                <w:rFonts w:hAnsi="宋体"/>
                <w:color w:val="auto"/>
                <w:sz w:val="21"/>
                <w:szCs w:val="21"/>
                <w:highlight w:val="none"/>
              </w:rPr>
            </w:pPr>
          </w:p>
        </w:tc>
        <w:tc>
          <w:tcPr>
            <w:tcW w:w="1098" w:type="dxa"/>
            <w:vMerge w:val="continue"/>
            <w:shd w:val="clear" w:color="auto" w:fill="FFFFFF" w:themeFill="background1"/>
            <w:vAlign w:val="center"/>
          </w:tcPr>
          <w:p w14:paraId="15A2799F">
            <w:pPr>
              <w:widowControl/>
              <w:rPr>
                <w:rFonts w:hAnsi="宋体"/>
                <w:color w:val="auto"/>
                <w:sz w:val="21"/>
                <w:szCs w:val="21"/>
                <w:highlight w:val="none"/>
              </w:rPr>
            </w:pPr>
          </w:p>
        </w:tc>
        <w:tc>
          <w:tcPr>
            <w:tcW w:w="2339" w:type="dxa"/>
            <w:vMerge w:val="continue"/>
            <w:shd w:val="clear" w:color="auto" w:fill="FFFFFF" w:themeFill="background1"/>
            <w:vAlign w:val="center"/>
          </w:tcPr>
          <w:p w14:paraId="1A1B1750">
            <w:pPr>
              <w:widowControl/>
              <w:rPr>
                <w:rFonts w:hAnsi="宋体"/>
                <w:color w:val="auto"/>
                <w:sz w:val="21"/>
                <w:szCs w:val="21"/>
                <w:highlight w:val="none"/>
              </w:rPr>
            </w:pPr>
          </w:p>
        </w:tc>
        <w:tc>
          <w:tcPr>
            <w:tcW w:w="921" w:type="dxa"/>
            <w:shd w:val="clear" w:color="auto" w:fill="FFFFFF" w:themeFill="background1"/>
            <w:vAlign w:val="center"/>
          </w:tcPr>
          <w:p w14:paraId="544D29D9">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2F23D09">
            <w:pPr>
              <w:widowControl/>
              <w:rPr>
                <w:rFonts w:hAnsi="宋体"/>
                <w:color w:val="auto"/>
                <w:sz w:val="21"/>
                <w:szCs w:val="21"/>
                <w:highlight w:val="none"/>
              </w:rPr>
            </w:pPr>
          </w:p>
        </w:tc>
        <w:tc>
          <w:tcPr>
            <w:tcW w:w="650" w:type="dxa"/>
            <w:vMerge w:val="continue"/>
            <w:shd w:val="clear" w:color="auto" w:fill="FFFFFF" w:themeFill="background1"/>
            <w:vAlign w:val="center"/>
          </w:tcPr>
          <w:p w14:paraId="5AFA62A2">
            <w:pPr>
              <w:widowControl/>
              <w:rPr>
                <w:rFonts w:hAnsi="宋体"/>
                <w:color w:val="auto"/>
                <w:sz w:val="21"/>
                <w:szCs w:val="21"/>
                <w:highlight w:val="none"/>
              </w:rPr>
            </w:pPr>
          </w:p>
        </w:tc>
        <w:tc>
          <w:tcPr>
            <w:tcW w:w="709" w:type="dxa"/>
            <w:shd w:val="clear" w:color="auto" w:fill="FFFFFF" w:themeFill="background1"/>
            <w:vAlign w:val="center"/>
          </w:tcPr>
          <w:p w14:paraId="0BC39F0C">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102A106">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0327ED69">
            <w:pPr>
              <w:widowControl/>
              <w:jc w:val="center"/>
              <w:rPr>
                <w:rFonts w:hAnsi="宋体"/>
                <w:color w:val="auto"/>
                <w:sz w:val="21"/>
                <w:szCs w:val="21"/>
                <w:highlight w:val="none"/>
              </w:rPr>
            </w:pPr>
          </w:p>
        </w:tc>
      </w:tr>
      <w:tr w14:paraId="259E73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trHeight w:val="836" w:hRule="atLeast"/>
          <w:jc w:val="center"/>
        </w:trPr>
        <w:tc>
          <w:tcPr>
            <w:tcW w:w="699" w:type="dxa"/>
            <w:vMerge w:val="continue"/>
            <w:shd w:val="clear" w:color="auto" w:fill="FFFFFF" w:themeFill="background1"/>
            <w:vAlign w:val="center"/>
          </w:tcPr>
          <w:p w14:paraId="5DA77DA0">
            <w:pPr>
              <w:widowControl/>
              <w:rPr>
                <w:rFonts w:hAnsi="宋体"/>
                <w:color w:val="auto"/>
                <w:sz w:val="21"/>
                <w:szCs w:val="21"/>
                <w:highlight w:val="none"/>
              </w:rPr>
            </w:pPr>
          </w:p>
        </w:tc>
        <w:tc>
          <w:tcPr>
            <w:tcW w:w="1098" w:type="dxa"/>
            <w:vMerge w:val="restart"/>
            <w:shd w:val="clear" w:color="auto" w:fill="FFFFFF" w:themeFill="background1"/>
            <w:vAlign w:val="center"/>
          </w:tcPr>
          <w:p w14:paraId="0D4E84B9">
            <w:pPr>
              <w:widowControl/>
              <w:jc w:val="center"/>
              <w:rPr>
                <w:rFonts w:hAnsi="宋体"/>
                <w:color w:val="auto"/>
                <w:sz w:val="21"/>
                <w:szCs w:val="21"/>
                <w:highlight w:val="none"/>
              </w:rPr>
            </w:pPr>
            <w:r>
              <w:rPr>
                <w:rFonts w:hint="eastAsia" w:hAnsi="宋体"/>
                <w:color w:val="auto"/>
                <w:sz w:val="21"/>
                <w:szCs w:val="21"/>
                <w:highlight w:val="none"/>
              </w:rPr>
              <w:t>路面清洗</w:t>
            </w:r>
          </w:p>
        </w:tc>
        <w:tc>
          <w:tcPr>
            <w:tcW w:w="2339" w:type="dxa"/>
            <w:vMerge w:val="restart"/>
            <w:shd w:val="clear" w:color="auto" w:fill="FFFFFF" w:themeFill="background1"/>
            <w:vAlign w:val="center"/>
          </w:tcPr>
          <w:p w14:paraId="133AAED9">
            <w:pPr>
              <w:widowControl/>
              <w:rPr>
                <w:rFonts w:hAnsi="宋体"/>
                <w:color w:val="auto"/>
                <w:sz w:val="21"/>
                <w:szCs w:val="21"/>
                <w:highlight w:val="none"/>
              </w:rPr>
            </w:pPr>
            <w:r>
              <w:rPr>
                <w:rFonts w:hint="eastAsia" w:hAnsi="宋体"/>
                <w:color w:val="auto"/>
                <w:sz w:val="21"/>
                <w:szCs w:val="21"/>
                <w:highlight w:val="none"/>
              </w:rPr>
              <w:t>1.路面油污清洗（包含清洁剂、木屑等材料）；2.应对交通事故（清理事故碎片、油污、装载物），突发事件处置等；</w:t>
            </w:r>
          </w:p>
        </w:tc>
        <w:tc>
          <w:tcPr>
            <w:tcW w:w="921" w:type="dxa"/>
            <w:shd w:val="clear" w:color="auto" w:fill="FFFFFF" w:themeFill="background1"/>
            <w:vAlign w:val="center"/>
          </w:tcPr>
          <w:p w14:paraId="7574C9BE">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68E5B03E">
            <w:pPr>
              <w:widowControl/>
              <w:rPr>
                <w:rFonts w:hAnsi="宋体"/>
                <w:color w:val="auto"/>
                <w:sz w:val="21"/>
                <w:szCs w:val="21"/>
                <w:highlight w:val="none"/>
              </w:rPr>
            </w:pPr>
          </w:p>
        </w:tc>
        <w:tc>
          <w:tcPr>
            <w:tcW w:w="650" w:type="dxa"/>
            <w:vMerge w:val="restart"/>
            <w:shd w:val="clear" w:color="auto" w:fill="FFFFFF" w:themeFill="background1"/>
            <w:vAlign w:val="center"/>
          </w:tcPr>
          <w:p w14:paraId="3E75728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57A74804">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60E21EA4">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82C49C3">
            <w:pPr>
              <w:widowControl/>
              <w:jc w:val="center"/>
              <w:rPr>
                <w:rFonts w:hAnsi="宋体"/>
                <w:color w:val="auto"/>
                <w:sz w:val="21"/>
                <w:szCs w:val="21"/>
                <w:highlight w:val="none"/>
              </w:rPr>
            </w:pPr>
            <w:r>
              <w:rPr>
                <w:rFonts w:hint="eastAsia" w:hAnsi="宋体"/>
                <w:color w:val="auto"/>
                <w:sz w:val="21"/>
                <w:szCs w:val="21"/>
                <w:highlight w:val="none"/>
              </w:rPr>
              <w:t>全年清洗面积不少于2000㎡</w:t>
            </w:r>
          </w:p>
        </w:tc>
      </w:tr>
      <w:tr w14:paraId="75970F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jc w:val="center"/>
        </w:trPr>
        <w:tc>
          <w:tcPr>
            <w:tcW w:w="699" w:type="dxa"/>
            <w:vMerge w:val="continue"/>
            <w:shd w:val="clear" w:color="auto" w:fill="FFFFFF" w:themeFill="background1"/>
            <w:vAlign w:val="center"/>
          </w:tcPr>
          <w:p w14:paraId="52F8A3AF">
            <w:pPr>
              <w:widowControl/>
              <w:rPr>
                <w:rFonts w:hAnsi="宋体"/>
                <w:color w:val="auto"/>
                <w:sz w:val="21"/>
                <w:szCs w:val="21"/>
                <w:highlight w:val="none"/>
              </w:rPr>
            </w:pPr>
          </w:p>
        </w:tc>
        <w:tc>
          <w:tcPr>
            <w:tcW w:w="1098" w:type="dxa"/>
            <w:vMerge w:val="continue"/>
            <w:shd w:val="clear" w:color="auto" w:fill="FFFFFF" w:themeFill="background1"/>
            <w:vAlign w:val="center"/>
          </w:tcPr>
          <w:p w14:paraId="3E53FDA7">
            <w:pPr>
              <w:widowControl/>
              <w:rPr>
                <w:rFonts w:hAnsi="宋体"/>
                <w:color w:val="auto"/>
                <w:sz w:val="21"/>
                <w:szCs w:val="21"/>
                <w:highlight w:val="none"/>
              </w:rPr>
            </w:pPr>
          </w:p>
        </w:tc>
        <w:tc>
          <w:tcPr>
            <w:tcW w:w="2339" w:type="dxa"/>
            <w:vMerge w:val="continue"/>
            <w:shd w:val="clear" w:color="auto" w:fill="FFFFFF" w:themeFill="background1"/>
            <w:vAlign w:val="center"/>
          </w:tcPr>
          <w:p w14:paraId="461B7B1B">
            <w:pPr>
              <w:widowControl/>
              <w:rPr>
                <w:rFonts w:hAnsi="宋体"/>
                <w:color w:val="auto"/>
                <w:sz w:val="21"/>
                <w:szCs w:val="21"/>
                <w:highlight w:val="none"/>
              </w:rPr>
            </w:pPr>
          </w:p>
        </w:tc>
        <w:tc>
          <w:tcPr>
            <w:tcW w:w="921" w:type="dxa"/>
            <w:shd w:val="clear" w:color="auto" w:fill="FFFFFF" w:themeFill="background1"/>
            <w:vAlign w:val="center"/>
          </w:tcPr>
          <w:p w14:paraId="0FD063B0">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1399091D">
            <w:pPr>
              <w:widowControl/>
              <w:rPr>
                <w:rFonts w:hAnsi="宋体"/>
                <w:color w:val="auto"/>
                <w:sz w:val="21"/>
                <w:szCs w:val="21"/>
                <w:highlight w:val="none"/>
              </w:rPr>
            </w:pPr>
          </w:p>
        </w:tc>
        <w:tc>
          <w:tcPr>
            <w:tcW w:w="650" w:type="dxa"/>
            <w:vMerge w:val="continue"/>
            <w:shd w:val="clear" w:color="auto" w:fill="FFFFFF" w:themeFill="background1"/>
            <w:vAlign w:val="center"/>
          </w:tcPr>
          <w:p w14:paraId="69C93BA4">
            <w:pPr>
              <w:widowControl/>
              <w:rPr>
                <w:rFonts w:hAnsi="宋体"/>
                <w:color w:val="auto"/>
                <w:sz w:val="21"/>
                <w:szCs w:val="21"/>
                <w:highlight w:val="none"/>
              </w:rPr>
            </w:pPr>
          </w:p>
        </w:tc>
        <w:tc>
          <w:tcPr>
            <w:tcW w:w="709" w:type="dxa"/>
            <w:shd w:val="clear" w:color="auto" w:fill="FFFFFF" w:themeFill="background1"/>
            <w:vAlign w:val="center"/>
          </w:tcPr>
          <w:p w14:paraId="2DF89A7F">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2FF23DE">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B2DD68D">
            <w:pPr>
              <w:widowControl/>
              <w:jc w:val="center"/>
              <w:rPr>
                <w:rFonts w:hAnsi="宋体"/>
                <w:color w:val="auto"/>
                <w:sz w:val="21"/>
                <w:szCs w:val="21"/>
                <w:highlight w:val="none"/>
              </w:rPr>
            </w:pPr>
            <w:r>
              <w:rPr>
                <w:rFonts w:hint="eastAsia" w:hAnsi="宋体"/>
                <w:color w:val="auto"/>
                <w:sz w:val="21"/>
                <w:szCs w:val="21"/>
                <w:highlight w:val="none"/>
              </w:rPr>
              <w:t>全年清洗面积不少于1500㎡</w:t>
            </w:r>
          </w:p>
        </w:tc>
      </w:tr>
      <w:tr w14:paraId="6118DE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14" w:hRule="atLeast"/>
          <w:jc w:val="center"/>
        </w:trPr>
        <w:tc>
          <w:tcPr>
            <w:tcW w:w="699" w:type="dxa"/>
            <w:vMerge w:val="continue"/>
            <w:shd w:val="clear" w:color="auto" w:fill="FFFFFF" w:themeFill="background1"/>
            <w:vAlign w:val="center"/>
          </w:tcPr>
          <w:p w14:paraId="3D544058">
            <w:pPr>
              <w:widowControl/>
              <w:rPr>
                <w:rFonts w:hAnsi="宋体"/>
                <w:color w:val="auto"/>
                <w:sz w:val="21"/>
                <w:szCs w:val="21"/>
                <w:highlight w:val="none"/>
              </w:rPr>
            </w:pPr>
          </w:p>
        </w:tc>
        <w:tc>
          <w:tcPr>
            <w:tcW w:w="1098" w:type="dxa"/>
            <w:vMerge w:val="restart"/>
            <w:shd w:val="clear" w:color="auto" w:fill="FFFFFF" w:themeFill="background1"/>
            <w:vAlign w:val="center"/>
          </w:tcPr>
          <w:p w14:paraId="6482D17F">
            <w:pPr>
              <w:widowControl/>
              <w:jc w:val="center"/>
              <w:rPr>
                <w:rFonts w:hAnsi="宋体"/>
                <w:color w:val="auto"/>
                <w:sz w:val="21"/>
                <w:szCs w:val="21"/>
                <w:highlight w:val="none"/>
              </w:rPr>
            </w:pPr>
            <w:r>
              <w:rPr>
                <w:rFonts w:hint="eastAsia" w:hAnsi="宋体"/>
                <w:color w:val="auto"/>
                <w:sz w:val="21"/>
                <w:szCs w:val="21"/>
                <w:highlight w:val="none"/>
              </w:rPr>
              <w:t>路面积水处理</w:t>
            </w:r>
          </w:p>
        </w:tc>
        <w:tc>
          <w:tcPr>
            <w:tcW w:w="2339" w:type="dxa"/>
            <w:vMerge w:val="restart"/>
            <w:shd w:val="clear" w:color="auto" w:fill="FFFFFF" w:themeFill="background1"/>
            <w:vAlign w:val="center"/>
          </w:tcPr>
          <w:p w14:paraId="2D2695FA">
            <w:pPr>
              <w:widowControl/>
              <w:rPr>
                <w:rFonts w:hAnsi="宋体"/>
                <w:color w:val="auto"/>
                <w:sz w:val="21"/>
                <w:szCs w:val="21"/>
                <w:highlight w:val="none"/>
              </w:rPr>
            </w:pPr>
            <w:r>
              <w:rPr>
                <w:rFonts w:hint="eastAsia" w:hAnsi="宋体"/>
                <w:color w:val="auto"/>
                <w:sz w:val="21"/>
                <w:szCs w:val="21"/>
                <w:highlight w:val="none"/>
              </w:rPr>
              <w:t>1.路面（包括且不限于窨井、泄水槽、泄水孔等）排水疏通;2.路面积水排除。</w:t>
            </w:r>
          </w:p>
        </w:tc>
        <w:tc>
          <w:tcPr>
            <w:tcW w:w="921" w:type="dxa"/>
            <w:shd w:val="clear" w:color="auto" w:fill="FFFFFF" w:themeFill="background1"/>
            <w:vAlign w:val="center"/>
          </w:tcPr>
          <w:p w14:paraId="6AA9BEDA">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532BBB4">
            <w:pPr>
              <w:widowControl/>
              <w:rPr>
                <w:rFonts w:hAnsi="宋体"/>
                <w:color w:val="auto"/>
                <w:sz w:val="21"/>
                <w:szCs w:val="21"/>
                <w:highlight w:val="none"/>
              </w:rPr>
            </w:pPr>
          </w:p>
        </w:tc>
        <w:tc>
          <w:tcPr>
            <w:tcW w:w="650" w:type="dxa"/>
            <w:vMerge w:val="restart"/>
            <w:shd w:val="clear" w:color="auto" w:fill="FFFFFF" w:themeFill="background1"/>
            <w:vAlign w:val="center"/>
          </w:tcPr>
          <w:p w14:paraId="266FD2C1">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608DF3E0">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0AB5754">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1911537">
            <w:pPr>
              <w:widowControl/>
              <w:jc w:val="center"/>
              <w:rPr>
                <w:rFonts w:hAnsi="宋体"/>
                <w:color w:val="auto"/>
                <w:sz w:val="21"/>
                <w:szCs w:val="21"/>
                <w:highlight w:val="none"/>
              </w:rPr>
            </w:pPr>
            <w:r>
              <w:rPr>
                <w:rFonts w:hint="eastAsia" w:hAnsi="宋体"/>
                <w:color w:val="auto"/>
                <w:sz w:val="21"/>
                <w:szCs w:val="21"/>
                <w:highlight w:val="none"/>
              </w:rPr>
              <w:t>全年路段积水处理</w:t>
            </w:r>
          </w:p>
        </w:tc>
      </w:tr>
      <w:tr w14:paraId="587AB3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549309B">
            <w:pPr>
              <w:widowControl/>
              <w:rPr>
                <w:rFonts w:hAnsi="宋体"/>
                <w:color w:val="auto"/>
                <w:sz w:val="21"/>
                <w:szCs w:val="21"/>
                <w:highlight w:val="none"/>
              </w:rPr>
            </w:pPr>
          </w:p>
        </w:tc>
        <w:tc>
          <w:tcPr>
            <w:tcW w:w="1098" w:type="dxa"/>
            <w:vMerge w:val="continue"/>
            <w:shd w:val="clear" w:color="auto" w:fill="FFFFFF" w:themeFill="background1"/>
            <w:vAlign w:val="center"/>
          </w:tcPr>
          <w:p w14:paraId="659C0E85">
            <w:pPr>
              <w:widowControl/>
              <w:rPr>
                <w:rFonts w:hAnsi="宋体"/>
                <w:color w:val="auto"/>
                <w:sz w:val="21"/>
                <w:szCs w:val="21"/>
                <w:highlight w:val="none"/>
              </w:rPr>
            </w:pPr>
          </w:p>
        </w:tc>
        <w:tc>
          <w:tcPr>
            <w:tcW w:w="2339" w:type="dxa"/>
            <w:vMerge w:val="continue"/>
            <w:shd w:val="clear" w:color="auto" w:fill="FFFFFF" w:themeFill="background1"/>
            <w:vAlign w:val="center"/>
          </w:tcPr>
          <w:p w14:paraId="2275128F">
            <w:pPr>
              <w:widowControl/>
              <w:rPr>
                <w:rFonts w:hAnsi="宋体"/>
                <w:color w:val="auto"/>
                <w:sz w:val="21"/>
                <w:szCs w:val="21"/>
                <w:highlight w:val="none"/>
              </w:rPr>
            </w:pPr>
          </w:p>
        </w:tc>
        <w:tc>
          <w:tcPr>
            <w:tcW w:w="921" w:type="dxa"/>
            <w:shd w:val="clear" w:color="auto" w:fill="FFFFFF" w:themeFill="background1"/>
            <w:vAlign w:val="center"/>
          </w:tcPr>
          <w:p w14:paraId="0C10AE88">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469CA1B8">
            <w:pPr>
              <w:widowControl/>
              <w:rPr>
                <w:rFonts w:hAnsi="宋体"/>
                <w:color w:val="auto"/>
                <w:sz w:val="21"/>
                <w:szCs w:val="21"/>
                <w:highlight w:val="none"/>
              </w:rPr>
            </w:pPr>
          </w:p>
        </w:tc>
        <w:tc>
          <w:tcPr>
            <w:tcW w:w="650" w:type="dxa"/>
            <w:vMerge w:val="continue"/>
            <w:shd w:val="clear" w:color="auto" w:fill="FFFFFF" w:themeFill="background1"/>
            <w:vAlign w:val="center"/>
          </w:tcPr>
          <w:p w14:paraId="0E1CE2B4">
            <w:pPr>
              <w:widowControl/>
              <w:rPr>
                <w:rFonts w:hAnsi="宋体"/>
                <w:color w:val="auto"/>
                <w:sz w:val="21"/>
                <w:szCs w:val="21"/>
                <w:highlight w:val="none"/>
              </w:rPr>
            </w:pPr>
          </w:p>
        </w:tc>
        <w:tc>
          <w:tcPr>
            <w:tcW w:w="709" w:type="dxa"/>
            <w:shd w:val="clear" w:color="auto" w:fill="FFFFFF" w:themeFill="background1"/>
            <w:vAlign w:val="center"/>
          </w:tcPr>
          <w:p w14:paraId="15A58605">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B59BF0A">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348ABF91">
            <w:pPr>
              <w:widowControl/>
              <w:jc w:val="center"/>
              <w:rPr>
                <w:rFonts w:hAnsi="宋体"/>
                <w:color w:val="auto"/>
                <w:sz w:val="21"/>
                <w:szCs w:val="21"/>
                <w:highlight w:val="none"/>
              </w:rPr>
            </w:pPr>
            <w:r>
              <w:rPr>
                <w:rFonts w:hint="eastAsia" w:hAnsi="宋体"/>
                <w:color w:val="auto"/>
                <w:sz w:val="21"/>
                <w:szCs w:val="21"/>
                <w:highlight w:val="none"/>
              </w:rPr>
              <w:t>全年路段积水处理</w:t>
            </w:r>
          </w:p>
        </w:tc>
      </w:tr>
      <w:tr w14:paraId="6118E8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77" w:hRule="atLeast"/>
          <w:jc w:val="center"/>
        </w:trPr>
        <w:tc>
          <w:tcPr>
            <w:tcW w:w="699" w:type="dxa"/>
            <w:vMerge w:val="continue"/>
            <w:shd w:val="clear" w:color="auto" w:fill="FFFFFF" w:themeFill="background1"/>
            <w:vAlign w:val="center"/>
          </w:tcPr>
          <w:p w14:paraId="7C59EBDD">
            <w:pPr>
              <w:widowControl/>
              <w:rPr>
                <w:rFonts w:hAnsi="宋体"/>
                <w:color w:val="auto"/>
                <w:sz w:val="21"/>
                <w:szCs w:val="21"/>
                <w:highlight w:val="none"/>
              </w:rPr>
            </w:pPr>
          </w:p>
        </w:tc>
        <w:tc>
          <w:tcPr>
            <w:tcW w:w="1098" w:type="dxa"/>
            <w:vMerge w:val="restart"/>
            <w:shd w:val="clear" w:color="auto" w:fill="FFFFFF" w:themeFill="background1"/>
            <w:vAlign w:val="center"/>
          </w:tcPr>
          <w:p w14:paraId="2092CC3F">
            <w:pPr>
              <w:widowControl/>
              <w:jc w:val="center"/>
              <w:rPr>
                <w:rFonts w:hAnsi="宋体"/>
                <w:color w:val="auto"/>
                <w:sz w:val="21"/>
                <w:szCs w:val="21"/>
                <w:highlight w:val="none"/>
              </w:rPr>
            </w:pPr>
            <w:r>
              <w:rPr>
                <w:rFonts w:hint="eastAsia" w:hAnsi="宋体"/>
                <w:color w:val="auto"/>
                <w:sz w:val="21"/>
                <w:szCs w:val="21"/>
                <w:highlight w:val="none"/>
              </w:rPr>
              <w:t>结构物附着物清理</w:t>
            </w:r>
          </w:p>
        </w:tc>
        <w:tc>
          <w:tcPr>
            <w:tcW w:w="2339" w:type="dxa"/>
            <w:vMerge w:val="restart"/>
            <w:shd w:val="clear" w:color="auto" w:fill="FFFFFF" w:themeFill="background1"/>
            <w:vAlign w:val="center"/>
          </w:tcPr>
          <w:p w14:paraId="788ABCAF">
            <w:pPr>
              <w:widowControl/>
              <w:rPr>
                <w:rFonts w:hAnsi="宋体"/>
                <w:color w:val="auto"/>
                <w:sz w:val="21"/>
                <w:szCs w:val="21"/>
                <w:highlight w:val="none"/>
              </w:rPr>
            </w:pPr>
            <w:r>
              <w:rPr>
                <w:rFonts w:hint="eastAsia" w:hAnsi="宋体"/>
                <w:color w:val="auto"/>
                <w:sz w:val="21"/>
                <w:szCs w:val="21"/>
                <w:highlight w:val="none"/>
              </w:rPr>
              <w:t>1.附着物清理（含小广告清理）;2.废料装卸、运输、定点堆放；3.包含里程碑、警示桩、百米桩、安全设施反光膜清理</w:t>
            </w:r>
          </w:p>
        </w:tc>
        <w:tc>
          <w:tcPr>
            <w:tcW w:w="921" w:type="dxa"/>
            <w:shd w:val="clear" w:color="auto" w:fill="FFFFFF" w:themeFill="background1"/>
            <w:vAlign w:val="center"/>
          </w:tcPr>
          <w:p w14:paraId="3510FD1F">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5A910FF0">
            <w:pPr>
              <w:widowControl/>
              <w:rPr>
                <w:rFonts w:hAnsi="宋体"/>
                <w:color w:val="auto"/>
                <w:sz w:val="21"/>
                <w:szCs w:val="21"/>
                <w:highlight w:val="none"/>
              </w:rPr>
            </w:pPr>
          </w:p>
        </w:tc>
        <w:tc>
          <w:tcPr>
            <w:tcW w:w="650" w:type="dxa"/>
            <w:vMerge w:val="restart"/>
            <w:shd w:val="clear" w:color="auto" w:fill="FFFFFF" w:themeFill="background1"/>
            <w:vAlign w:val="center"/>
          </w:tcPr>
          <w:p w14:paraId="30758A3B">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4C8ED42A">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60FCA20">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33B83B5F">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00B2EC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704F041D">
            <w:pPr>
              <w:widowControl/>
              <w:rPr>
                <w:rFonts w:hAnsi="宋体"/>
                <w:color w:val="auto"/>
                <w:sz w:val="21"/>
                <w:szCs w:val="21"/>
                <w:highlight w:val="none"/>
              </w:rPr>
            </w:pPr>
          </w:p>
        </w:tc>
        <w:tc>
          <w:tcPr>
            <w:tcW w:w="1098" w:type="dxa"/>
            <w:vMerge w:val="continue"/>
            <w:shd w:val="clear" w:color="auto" w:fill="FFFFFF" w:themeFill="background1"/>
            <w:vAlign w:val="center"/>
          </w:tcPr>
          <w:p w14:paraId="7D746FD8">
            <w:pPr>
              <w:widowControl/>
              <w:rPr>
                <w:rFonts w:hAnsi="宋体"/>
                <w:color w:val="auto"/>
                <w:sz w:val="21"/>
                <w:szCs w:val="21"/>
                <w:highlight w:val="none"/>
              </w:rPr>
            </w:pPr>
          </w:p>
        </w:tc>
        <w:tc>
          <w:tcPr>
            <w:tcW w:w="2339" w:type="dxa"/>
            <w:vMerge w:val="continue"/>
            <w:shd w:val="clear" w:color="auto" w:fill="FFFFFF" w:themeFill="background1"/>
            <w:vAlign w:val="center"/>
          </w:tcPr>
          <w:p w14:paraId="7C29C362">
            <w:pPr>
              <w:widowControl/>
              <w:rPr>
                <w:rFonts w:hAnsi="宋体"/>
                <w:color w:val="auto"/>
                <w:sz w:val="21"/>
                <w:szCs w:val="21"/>
                <w:highlight w:val="none"/>
              </w:rPr>
            </w:pPr>
          </w:p>
        </w:tc>
        <w:tc>
          <w:tcPr>
            <w:tcW w:w="921" w:type="dxa"/>
            <w:shd w:val="clear" w:color="auto" w:fill="FFFFFF" w:themeFill="background1"/>
            <w:vAlign w:val="center"/>
          </w:tcPr>
          <w:p w14:paraId="37D0D4D5">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3635EF3">
            <w:pPr>
              <w:widowControl/>
              <w:rPr>
                <w:rFonts w:hAnsi="宋体"/>
                <w:color w:val="auto"/>
                <w:sz w:val="21"/>
                <w:szCs w:val="21"/>
                <w:highlight w:val="none"/>
              </w:rPr>
            </w:pPr>
          </w:p>
        </w:tc>
        <w:tc>
          <w:tcPr>
            <w:tcW w:w="650" w:type="dxa"/>
            <w:vMerge w:val="continue"/>
            <w:shd w:val="clear" w:color="auto" w:fill="FFFFFF" w:themeFill="background1"/>
            <w:vAlign w:val="center"/>
          </w:tcPr>
          <w:p w14:paraId="2C48656D">
            <w:pPr>
              <w:widowControl/>
              <w:rPr>
                <w:rFonts w:hAnsi="宋体"/>
                <w:color w:val="auto"/>
                <w:sz w:val="21"/>
                <w:szCs w:val="21"/>
                <w:highlight w:val="none"/>
              </w:rPr>
            </w:pPr>
          </w:p>
        </w:tc>
        <w:tc>
          <w:tcPr>
            <w:tcW w:w="709" w:type="dxa"/>
            <w:shd w:val="clear" w:color="auto" w:fill="FFFFFF" w:themeFill="background1"/>
            <w:vAlign w:val="center"/>
          </w:tcPr>
          <w:p w14:paraId="160941CD">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39445F72">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72B06A4">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33FFA2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12" w:hRule="atLeast"/>
          <w:jc w:val="center"/>
        </w:trPr>
        <w:tc>
          <w:tcPr>
            <w:tcW w:w="699" w:type="dxa"/>
            <w:vMerge w:val="continue"/>
            <w:shd w:val="clear" w:color="auto" w:fill="FFFFFF" w:themeFill="background1"/>
            <w:vAlign w:val="center"/>
          </w:tcPr>
          <w:p w14:paraId="73F70C6E">
            <w:pPr>
              <w:widowControl/>
              <w:rPr>
                <w:rFonts w:hAnsi="宋体"/>
                <w:color w:val="auto"/>
                <w:sz w:val="21"/>
                <w:szCs w:val="21"/>
                <w:highlight w:val="none"/>
              </w:rPr>
            </w:pPr>
          </w:p>
        </w:tc>
        <w:tc>
          <w:tcPr>
            <w:tcW w:w="1098" w:type="dxa"/>
            <w:vMerge w:val="restart"/>
            <w:shd w:val="clear" w:color="auto" w:fill="FFFFFF" w:themeFill="background1"/>
            <w:vAlign w:val="center"/>
          </w:tcPr>
          <w:p w14:paraId="46CB62AB">
            <w:pPr>
              <w:widowControl/>
              <w:jc w:val="center"/>
              <w:rPr>
                <w:rFonts w:hAnsi="宋体"/>
                <w:color w:val="auto"/>
                <w:sz w:val="21"/>
                <w:szCs w:val="21"/>
                <w:highlight w:val="none"/>
              </w:rPr>
            </w:pPr>
            <w:r>
              <w:rPr>
                <w:rFonts w:hint="eastAsia" w:hAnsi="宋体"/>
                <w:color w:val="auto"/>
                <w:sz w:val="21"/>
                <w:szCs w:val="21"/>
                <w:highlight w:val="none"/>
              </w:rPr>
              <w:t>桥梁排水系统疏通</w:t>
            </w:r>
          </w:p>
        </w:tc>
        <w:tc>
          <w:tcPr>
            <w:tcW w:w="2339" w:type="dxa"/>
            <w:vMerge w:val="restart"/>
            <w:shd w:val="clear" w:color="auto" w:fill="FFFFFF" w:themeFill="background1"/>
            <w:vAlign w:val="center"/>
          </w:tcPr>
          <w:p w14:paraId="29E859F3">
            <w:pPr>
              <w:widowControl/>
              <w:rPr>
                <w:rFonts w:hAnsi="宋体"/>
                <w:color w:val="auto"/>
                <w:sz w:val="21"/>
                <w:szCs w:val="21"/>
                <w:highlight w:val="none"/>
              </w:rPr>
            </w:pPr>
            <w:r>
              <w:rPr>
                <w:rFonts w:hint="eastAsia" w:hAnsi="宋体"/>
                <w:color w:val="auto"/>
                <w:sz w:val="21"/>
                <w:szCs w:val="21"/>
                <w:highlight w:val="none"/>
              </w:rPr>
              <w:t>1.垃圾、杂物、淤积物等清理;2.疏通;3.废料装卸、运输、定点堆放；4.确保桥梁排水通畅</w:t>
            </w:r>
          </w:p>
        </w:tc>
        <w:tc>
          <w:tcPr>
            <w:tcW w:w="921" w:type="dxa"/>
            <w:shd w:val="clear" w:color="auto" w:fill="FFFFFF" w:themeFill="background1"/>
            <w:vAlign w:val="center"/>
          </w:tcPr>
          <w:p w14:paraId="50A4CD11">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2F2C108E">
            <w:pPr>
              <w:widowControl/>
              <w:rPr>
                <w:rFonts w:hAnsi="宋体"/>
                <w:color w:val="auto"/>
                <w:sz w:val="21"/>
                <w:szCs w:val="21"/>
                <w:highlight w:val="none"/>
              </w:rPr>
            </w:pPr>
          </w:p>
        </w:tc>
        <w:tc>
          <w:tcPr>
            <w:tcW w:w="650" w:type="dxa"/>
            <w:vMerge w:val="restart"/>
            <w:shd w:val="clear" w:color="auto" w:fill="FFFFFF" w:themeFill="background1"/>
            <w:vAlign w:val="center"/>
          </w:tcPr>
          <w:p w14:paraId="390F4A8F">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474AD2FB">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64E9C23">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30EBBE7">
            <w:pPr>
              <w:widowControl/>
              <w:jc w:val="center"/>
              <w:rPr>
                <w:rFonts w:hAnsi="宋体"/>
                <w:color w:val="auto"/>
                <w:sz w:val="21"/>
                <w:szCs w:val="21"/>
                <w:highlight w:val="none"/>
              </w:rPr>
            </w:pPr>
            <w:r>
              <w:rPr>
                <w:rFonts w:hint="eastAsia" w:hAnsi="宋体"/>
                <w:color w:val="auto"/>
                <w:sz w:val="21"/>
                <w:szCs w:val="21"/>
                <w:highlight w:val="none"/>
              </w:rPr>
              <w:t>桥梁数量：99</w:t>
            </w:r>
          </w:p>
          <w:p w14:paraId="01CF46AE">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05310D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758A005">
            <w:pPr>
              <w:widowControl/>
              <w:rPr>
                <w:rFonts w:hAnsi="宋体"/>
                <w:color w:val="auto"/>
                <w:sz w:val="21"/>
                <w:szCs w:val="21"/>
                <w:highlight w:val="none"/>
              </w:rPr>
            </w:pPr>
          </w:p>
        </w:tc>
        <w:tc>
          <w:tcPr>
            <w:tcW w:w="1098" w:type="dxa"/>
            <w:vMerge w:val="continue"/>
            <w:shd w:val="clear" w:color="auto" w:fill="FFFFFF" w:themeFill="background1"/>
            <w:vAlign w:val="center"/>
          </w:tcPr>
          <w:p w14:paraId="5886B921">
            <w:pPr>
              <w:widowControl/>
              <w:rPr>
                <w:rFonts w:hAnsi="宋体"/>
                <w:color w:val="auto"/>
                <w:sz w:val="21"/>
                <w:szCs w:val="21"/>
                <w:highlight w:val="none"/>
              </w:rPr>
            </w:pPr>
          </w:p>
        </w:tc>
        <w:tc>
          <w:tcPr>
            <w:tcW w:w="2339" w:type="dxa"/>
            <w:vMerge w:val="continue"/>
            <w:shd w:val="clear" w:color="auto" w:fill="FFFFFF" w:themeFill="background1"/>
            <w:vAlign w:val="center"/>
          </w:tcPr>
          <w:p w14:paraId="676EC6B1">
            <w:pPr>
              <w:widowControl/>
              <w:rPr>
                <w:rFonts w:hAnsi="宋体"/>
                <w:color w:val="auto"/>
                <w:sz w:val="21"/>
                <w:szCs w:val="21"/>
                <w:highlight w:val="none"/>
              </w:rPr>
            </w:pPr>
          </w:p>
        </w:tc>
        <w:tc>
          <w:tcPr>
            <w:tcW w:w="921" w:type="dxa"/>
            <w:shd w:val="clear" w:color="auto" w:fill="FFFFFF" w:themeFill="background1"/>
            <w:vAlign w:val="center"/>
          </w:tcPr>
          <w:p w14:paraId="598208D0">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7C6F127C">
            <w:pPr>
              <w:widowControl/>
              <w:rPr>
                <w:rFonts w:hAnsi="宋体"/>
                <w:color w:val="auto"/>
                <w:sz w:val="21"/>
                <w:szCs w:val="21"/>
                <w:highlight w:val="none"/>
              </w:rPr>
            </w:pPr>
          </w:p>
        </w:tc>
        <w:tc>
          <w:tcPr>
            <w:tcW w:w="650" w:type="dxa"/>
            <w:vMerge w:val="continue"/>
            <w:shd w:val="clear" w:color="auto" w:fill="FFFFFF" w:themeFill="background1"/>
            <w:vAlign w:val="center"/>
          </w:tcPr>
          <w:p w14:paraId="511F7154">
            <w:pPr>
              <w:widowControl/>
              <w:rPr>
                <w:rFonts w:hAnsi="宋体"/>
                <w:color w:val="auto"/>
                <w:sz w:val="21"/>
                <w:szCs w:val="21"/>
                <w:highlight w:val="none"/>
              </w:rPr>
            </w:pPr>
          </w:p>
        </w:tc>
        <w:tc>
          <w:tcPr>
            <w:tcW w:w="709" w:type="dxa"/>
            <w:shd w:val="clear" w:color="auto" w:fill="FFFFFF" w:themeFill="background1"/>
            <w:vAlign w:val="center"/>
          </w:tcPr>
          <w:p w14:paraId="5B2CFC64">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3C8EAD1">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D8DCE29">
            <w:pPr>
              <w:widowControl/>
              <w:jc w:val="center"/>
              <w:rPr>
                <w:rFonts w:hAnsi="宋体"/>
                <w:color w:val="auto"/>
                <w:sz w:val="21"/>
                <w:szCs w:val="21"/>
                <w:highlight w:val="none"/>
              </w:rPr>
            </w:pPr>
            <w:r>
              <w:rPr>
                <w:rFonts w:hint="eastAsia" w:hAnsi="宋体"/>
                <w:color w:val="auto"/>
                <w:sz w:val="21"/>
                <w:szCs w:val="21"/>
                <w:highlight w:val="none"/>
              </w:rPr>
              <w:t>桥梁数量：144</w:t>
            </w:r>
          </w:p>
          <w:p w14:paraId="70D338A8">
            <w:pPr>
              <w:widowControl/>
              <w:jc w:val="center"/>
              <w:rPr>
                <w:rFonts w:hAnsi="宋体"/>
                <w:color w:val="auto"/>
                <w:sz w:val="21"/>
                <w:szCs w:val="21"/>
                <w:highlight w:val="none"/>
              </w:rPr>
            </w:pPr>
            <w:r>
              <w:rPr>
                <w:rFonts w:hint="eastAsia" w:hAnsi="宋体"/>
                <w:color w:val="auto"/>
                <w:sz w:val="21"/>
                <w:szCs w:val="21"/>
                <w:highlight w:val="none"/>
              </w:rPr>
              <w:t>每月不少于1次</w:t>
            </w:r>
          </w:p>
        </w:tc>
      </w:tr>
      <w:tr w14:paraId="1FED8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2" w:hRule="atLeast"/>
          <w:jc w:val="center"/>
        </w:trPr>
        <w:tc>
          <w:tcPr>
            <w:tcW w:w="699" w:type="dxa"/>
            <w:vMerge w:val="continue"/>
            <w:shd w:val="clear" w:color="auto" w:fill="FFFFFF" w:themeFill="background1"/>
            <w:vAlign w:val="center"/>
          </w:tcPr>
          <w:p w14:paraId="3CACFFB4">
            <w:pPr>
              <w:widowControl/>
              <w:rPr>
                <w:rFonts w:hAnsi="宋体"/>
                <w:color w:val="auto"/>
                <w:sz w:val="21"/>
                <w:szCs w:val="21"/>
                <w:highlight w:val="none"/>
              </w:rPr>
            </w:pPr>
          </w:p>
        </w:tc>
        <w:tc>
          <w:tcPr>
            <w:tcW w:w="1098" w:type="dxa"/>
            <w:vMerge w:val="restart"/>
            <w:shd w:val="clear" w:color="auto" w:fill="FFFFFF" w:themeFill="background1"/>
            <w:vAlign w:val="center"/>
          </w:tcPr>
          <w:p w14:paraId="4EDC1D11">
            <w:pPr>
              <w:widowControl/>
              <w:jc w:val="center"/>
              <w:rPr>
                <w:rFonts w:hAnsi="宋体"/>
                <w:color w:val="auto"/>
                <w:sz w:val="21"/>
                <w:szCs w:val="21"/>
                <w:highlight w:val="none"/>
              </w:rPr>
            </w:pPr>
            <w:r>
              <w:rPr>
                <w:rFonts w:hint="eastAsia" w:hAnsi="宋体"/>
                <w:color w:val="auto"/>
                <w:sz w:val="21"/>
                <w:szCs w:val="21"/>
                <w:highlight w:val="none"/>
              </w:rPr>
              <w:t>桥梁伸缩装置清理</w:t>
            </w:r>
          </w:p>
        </w:tc>
        <w:tc>
          <w:tcPr>
            <w:tcW w:w="2339" w:type="dxa"/>
            <w:vMerge w:val="restart"/>
            <w:shd w:val="clear" w:color="auto" w:fill="FFFFFF" w:themeFill="background1"/>
            <w:vAlign w:val="center"/>
          </w:tcPr>
          <w:p w14:paraId="4AF4932A">
            <w:pPr>
              <w:widowControl/>
              <w:rPr>
                <w:rFonts w:hAnsi="宋体"/>
                <w:color w:val="auto"/>
                <w:sz w:val="21"/>
                <w:szCs w:val="21"/>
                <w:highlight w:val="none"/>
              </w:rPr>
            </w:pPr>
            <w:r>
              <w:rPr>
                <w:rFonts w:hint="eastAsia" w:hAnsi="宋体"/>
                <w:color w:val="auto"/>
                <w:sz w:val="21"/>
                <w:szCs w:val="21"/>
                <w:highlight w:val="none"/>
              </w:rPr>
              <w:t>1.垃圾、杂物、淤积物等清理;2.废料装卸、运输、定点堆放；3.确保伸缩缝不堵塞。4.做好清理台账记录。</w:t>
            </w:r>
          </w:p>
        </w:tc>
        <w:tc>
          <w:tcPr>
            <w:tcW w:w="921" w:type="dxa"/>
            <w:shd w:val="clear" w:color="auto" w:fill="FFFFFF" w:themeFill="background1"/>
            <w:vAlign w:val="center"/>
          </w:tcPr>
          <w:p w14:paraId="651CC887">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16DCAB25">
            <w:pPr>
              <w:widowControl/>
              <w:rPr>
                <w:rFonts w:hAnsi="宋体"/>
                <w:color w:val="auto"/>
                <w:sz w:val="21"/>
                <w:szCs w:val="21"/>
                <w:highlight w:val="none"/>
              </w:rPr>
            </w:pPr>
          </w:p>
        </w:tc>
        <w:tc>
          <w:tcPr>
            <w:tcW w:w="650" w:type="dxa"/>
            <w:vMerge w:val="restart"/>
            <w:shd w:val="clear" w:color="auto" w:fill="FFFFFF" w:themeFill="background1"/>
            <w:vAlign w:val="center"/>
          </w:tcPr>
          <w:p w14:paraId="14481F34">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6658008F">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75D022F">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D62E154">
            <w:pPr>
              <w:widowControl/>
              <w:jc w:val="center"/>
              <w:rPr>
                <w:rFonts w:hAnsi="宋体"/>
                <w:color w:val="auto"/>
                <w:sz w:val="21"/>
                <w:szCs w:val="21"/>
                <w:highlight w:val="none"/>
              </w:rPr>
            </w:pPr>
            <w:r>
              <w:rPr>
                <w:rFonts w:hint="eastAsia" w:hAnsi="宋体"/>
                <w:color w:val="auto"/>
                <w:sz w:val="21"/>
                <w:szCs w:val="21"/>
                <w:highlight w:val="none"/>
              </w:rPr>
              <w:t>桥梁数量：99</w:t>
            </w:r>
          </w:p>
          <w:p w14:paraId="09458715">
            <w:pPr>
              <w:widowControl/>
              <w:jc w:val="center"/>
              <w:rPr>
                <w:rFonts w:hAnsi="宋体"/>
                <w:color w:val="auto"/>
                <w:sz w:val="21"/>
                <w:szCs w:val="21"/>
                <w:highlight w:val="none"/>
              </w:rPr>
            </w:pPr>
            <w:r>
              <w:rPr>
                <w:rFonts w:hint="eastAsia" w:hAnsi="宋体"/>
                <w:color w:val="auto"/>
                <w:sz w:val="21"/>
                <w:szCs w:val="21"/>
                <w:highlight w:val="none"/>
              </w:rPr>
              <w:t>每季度不少于1次</w:t>
            </w:r>
          </w:p>
        </w:tc>
      </w:tr>
      <w:tr w14:paraId="2487E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119C472">
            <w:pPr>
              <w:widowControl/>
              <w:rPr>
                <w:rFonts w:hAnsi="宋体"/>
                <w:color w:val="auto"/>
                <w:sz w:val="21"/>
                <w:szCs w:val="21"/>
                <w:highlight w:val="none"/>
              </w:rPr>
            </w:pPr>
          </w:p>
        </w:tc>
        <w:tc>
          <w:tcPr>
            <w:tcW w:w="1098" w:type="dxa"/>
            <w:vMerge w:val="continue"/>
            <w:shd w:val="clear" w:color="auto" w:fill="FFFFFF" w:themeFill="background1"/>
            <w:vAlign w:val="center"/>
          </w:tcPr>
          <w:p w14:paraId="51D7E646">
            <w:pPr>
              <w:widowControl/>
              <w:rPr>
                <w:rFonts w:hAnsi="宋体"/>
                <w:color w:val="auto"/>
                <w:sz w:val="21"/>
                <w:szCs w:val="21"/>
                <w:highlight w:val="none"/>
              </w:rPr>
            </w:pPr>
          </w:p>
        </w:tc>
        <w:tc>
          <w:tcPr>
            <w:tcW w:w="2339" w:type="dxa"/>
            <w:vMerge w:val="continue"/>
            <w:shd w:val="clear" w:color="auto" w:fill="FFFFFF" w:themeFill="background1"/>
            <w:vAlign w:val="center"/>
          </w:tcPr>
          <w:p w14:paraId="63371E23">
            <w:pPr>
              <w:widowControl/>
              <w:rPr>
                <w:rFonts w:hAnsi="宋体"/>
                <w:color w:val="auto"/>
                <w:sz w:val="21"/>
                <w:szCs w:val="21"/>
                <w:highlight w:val="none"/>
              </w:rPr>
            </w:pPr>
          </w:p>
        </w:tc>
        <w:tc>
          <w:tcPr>
            <w:tcW w:w="921" w:type="dxa"/>
            <w:shd w:val="clear" w:color="auto" w:fill="FFFFFF" w:themeFill="background1"/>
            <w:vAlign w:val="center"/>
          </w:tcPr>
          <w:p w14:paraId="08A49525">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DB57FE8">
            <w:pPr>
              <w:widowControl/>
              <w:rPr>
                <w:rFonts w:hAnsi="宋体"/>
                <w:color w:val="auto"/>
                <w:sz w:val="21"/>
                <w:szCs w:val="21"/>
                <w:highlight w:val="none"/>
              </w:rPr>
            </w:pPr>
          </w:p>
        </w:tc>
        <w:tc>
          <w:tcPr>
            <w:tcW w:w="650" w:type="dxa"/>
            <w:vMerge w:val="continue"/>
            <w:shd w:val="clear" w:color="auto" w:fill="FFFFFF" w:themeFill="background1"/>
            <w:vAlign w:val="center"/>
          </w:tcPr>
          <w:p w14:paraId="2FAD3AC0">
            <w:pPr>
              <w:widowControl/>
              <w:rPr>
                <w:rFonts w:hAnsi="宋体"/>
                <w:color w:val="auto"/>
                <w:sz w:val="21"/>
                <w:szCs w:val="21"/>
                <w:highlight w:val="none"/>
              </w:rPr>
            </w:pPr>
          </w:p>
        </w:tc>
        <w:tc>
          <w:tcPr>
            <w:tcW w:w="709" w:type="dxa"/>
            <w:shd w:val="clear" w:color="auto" w:fill="FFFFFF" w:themeFill="background1"/>
            <w:vAlign w:val="center"/>
          </w:tcPr>
          <w:p w14:paraId="29154508">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92AB903">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53F67CD3">
            <w:pPr>
              <w:widowControl/>
              <w:jc w:val="center"/>
              <w:rPr>
                <w:rFonts w:hAnsi="宋体"/>
                <w:color w:val="auto"/>
                <w:sz w:val="21"/>
                <w:szCs w:val="21"/>
                <w:highlight w:val="none"/>
              </w:rPr>
            </w:pPr>
            <w:r>
              <w:rPr>
                <w:rFonts w:hint="eastAsia" w:hAnsi="宋体"/>
                <w:color w:val="auto"/>
                <w:sz w:val="21"/>
                <w:szCs w:val="21"/>
                <w:highlight w:val="none"/>
              </w:rPr>
              <w:t>桥梁数量：144</w:t>
            </w:r>
          </w:p>
          <w:p w14:paraId="3EF1E0DE">
            <w:pPr>
              <w:widowControl/>
              <w:jc w:val="center"/>
              <w:rPr>
                <w:rFonts w:hAnsi="宋体"/>
                <w:color w:val="auto"/>
                <w:sz w:val="21"/>
                <w:szCs w:val="21"/>
                <w:highlight w:val="none"/>
              </w:rPr>
            </w:pPr>
            <w:r>
              <w:rPr>
                <w:rFonts w:hint="eastAsia" w:hAnsi="宋体"/>
                <w:color w:val="auto"/>
                <w:sz w:val="21"/>
                <w:szCs w:val="21"/>
                <w:highlight w:val="none"/>
              </w:rPr>
              <w:t>每季度不少于1次</w:t>
            </w:r>
          </w:p>
        </w:tc>
      </w:tr>
      <w:tr w14:paraId="4890E8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98" w:hRule="atLeast"/>
          <w:jc w:val="center"/>
        </w:trPr>
        <w:tc>
          <w:tcPr>
            <w:tcW w:w="699" w:type="dxa"/>
            <w:vMerge w:val="continue"/>
            <w:shd w:val="clear" w:color="auto" w:fill="FFFFFF" w:themeFill="background1"/>
            <w:vAlign w:val="center"/>
          </w:tcPr>
          <w:p w14:paraId="743B02FA">
            <w:pPr>
              <w:widowControl/>
              <w:rPr>
                <w:rFonts w:hAnsi="宋体"/>
                <w:color w:val="auto"/>
                <w:sz w:val="21"/>
                <w:szCs w:val="21"/>
                <w:highlight w:val="none"/>
              </w:rPr>
            </w:pPr>
          </w:p>
        </w:tc>
        <w:tc>
          <w:tcPr>
            <w:tcW w:w="1098" w:type="dxa"/>
            <w:vMerge w:val="restart"/>
            <w:shd w:val="clear" w:color="auto" w:fill="FFFFFF" w:themeFill="background1"/>
            <w:vAlign w:val="center"/>
          </w:tcPr>
          <w:p w14:paraId="4BA67C54">
            <w:pPr>
              <w:widowControl/>
              <w:jc w:val="center"/>
              <w:rPr>
                <w:rFonts w:hAnsi="宋体"/>
                <w:color w:val="auto"/>
                <w:sz w:val="21"/>
                <w:szCs w:val="21"/>
                <w:highlight w:val="none"/>
              </w:rPr>
            </w:pPr>
            <w:r>
              <w:rPr>
                <w:rFonts w:hint="eastAsia" w:hAnsi="宋体"/>
                <w:color w:val="auto"/>
                <w:sz w:val="21"/>
                <w:szCs w:val="21"/>
                <w:highlight w:val="none"/>
              </w:rPr>
              <w:t>桥下空间及锥坡清理</w:t>
            </w:r>
          </w:p>
        </w:tc>
        <w:tc>
          <w:tcPr>
            <w:tcW w:w="2339" w:type="dxa"/>
            <w:vMerge w:val="restart"/>
            <w:shd w:val="clear" w:color="auto" w:fill="FFFFFF" w:themeFill="background1"/>
            <w:vAlign w:val="center"/>
          </w:tcPr>
          <w:p w14:paraId="1428C5DC">
            <w:pPr>
              <w:widowControl/>
              <w:rPr>
                <w:rFonts w:hAnsi="宋体"/>
                <w:color w:val="auto"/>
                <w:sz w:val="15"/>
                <w:szCs w:val="15"/>
                <w:highlight w:val="none"/>
              </w:rPr>
            </w:pPr>
            <w:r>
              <w:rPr>
                <w:rFonts w:hint="eastAsia" w:hAnsi="宋体"/>
                <w:color w:val="auto"/>
                <w:sz w:val="21"/>
                <w:szCs w:val="21"/>
                <w:highlight w:val="none"/>
              </w:rPr>
              <w:t>1.垃圾、杂物、淤积物等清理;2.废料装卸、运输、定点堆放。3.确保整洁、无堆积、无杂物。4.做好清理台账记录。</w:t>
            </w:r>
          </w:p>
        </w:tc>
        <w:tc>
          <w:tcPr>
            <w:tcW w:w="921" w:type="dxa"/>
            <w:shd w:val="clear" w:color="auto" w:fill="FFFFFF" w:themeFill="background1"/>
            <w:vAlign w:val="center"/>
          </w:tcPr>
          <w:p w14:paraId="4294DB37">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02CE323B">
            <w:pPr>
              <w:widowControl/>
              <w:rPr>
                <w:rFonts w:hAnsi="宋体"/>
                <w:color w:val="auto"/>
                <w:sz w:val="21"/>
                <w:szCs w:val="21"/>
                <w:highlight w:val="none"/>
              </w:rPr>
            </w:pPr>
          </w:p>
        </w:tc>
        <w:tc>
          <w:tcPr>
            <w:tcW w:w="650" w:type="dxa"/>
            <w:vMerge w:val="restart"/>
            <w:shd w:val="clear" w:color="auto" w:fill="FFFFFF" w:themeFill="background1"/>
            <w:vAlign w:val="center"/>
          </w:tcPr>
          <w:p w14:paraId="2F44A02A">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C165628">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0B7DBEC">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752FFE29">
            <w:pPr>
              <w:widowControl/>
              <w:jc w:val="center"/>
              <w:rPr>
                <w:rFonts w:hAnsi="宋体"/>
                <w:color w:val="auto"/>
                <w:sz w:val="21"/>
                <w:szCs w:val="21"/>
                <w:highlight w:val="none"/>
              </w:rPr>
            </w:pPr>
            <w:r>
              <w:rPr>
                <w:rFonts w:hint="eastAsia" w:hAnsi="宋体"/>
                <w:color w:val="auto"/>
                <w:sz w:val="21"/>
                <w:szCs w:val="21"/>
                <w:highlight w:val="none"/>
              </w:rPr>
              <w:t>桥梁数量：99</w:t>
            </w:r>
          </w:p>
        </w:tc>
      </w:tr>
      <w:tr w14:paraId="4653F1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222885BD">
            <w:pPr>
              <w:widowControl/>
              <w:rPr>
                <w:rFonts w:hAnsi="宋体"/>
                <w:color w:val="auto"/>
                <w:sz w:val="21"/>
                <w:szCs w:val="21"/>
                <w:highlight w:val="none"/>
              </w:rPr>
            </w:pPr>
          </w:p>
        </w:tc>
        <w:tc>
          <w:tcPr>
            <w:tcW w:w="1098" w:type="dxa"/>
            <w:vMerge w:val="continue"/>
            <w:shd w:val="clear" w:color="auto" w:fill="FFFFFF" w:themeFill="background1"/>
            <w:vAlign w:val="center"/>
          </w:tcPr>
          <w:p w14:paraId="3AF33B59">
            <w:pPr>
              <w:widowControl/>
              <w:rPr>
                <w:rFonts w:hAnsi="宋体"/>
                <w:color w:val="auto"/>
                <w:sz w:val="21"/>
                <w:szCs w:val="21"/>
                <w:highlight w:val="none"/>
              </w:rPr>
            </w:pPr>
          </w:p>
        </w:tc>
        <w:tc>
          <w:tcPr>
            <w:tcW w:w="2339" w:type="dxa"/>
            <w:vMerge w:val="continue"/>
            <w:shd w:val="clear" w:color="auto" w:fill="FFFFFF" w:themeFill="background1"/>
            <w:vAlign w:val="center"/>
          </w:tcPr>
          <w:p w14:paraId="3325BBA0">
            <w:pPr>
              <w:widowControl/>
              <w:rPr>
                <w:rFonts w:hAnsi="宋体"/>
                <w:color w:val="auto"/>
                <w:sz w:val="21"/>
                <w:szCs w:val="21"/>
                <w:highlight w:val="none"/>
              </w:rPr>
            </w:pPr>
          </w:p>
        </w:tc>
        <w:tc>
          <w:tcPr>
            <w:tcW w:w="921" w:type="dxa"/>
            <w:shd w:val="clear" w:color="auto" w:fill="FFFFFF" w:themeFill="background1"/>
            <w:vAlign w:val="center"/>
          </w:tcPr>
          <w:p w14:paraId="6C75FD79">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A13D61B">
            <w:pPr>
              <w:widowControl/>
              <w:rPr>
                <w:rFonts w:hAnsi="宋体"/>
                <w:color w:val="auto"/>
                <w:sz w:val="21"/>
                <w:szCs w:val="21"/>
                <w:highlight w:val="none"/>
              </w:rPr>
            </w:pPr>
          </w:p>
        </w:tc>
        <w:tc>
          <w:tcPr>
            <w:tcW w:w="650" w:type="dxa"/>
            <w:vMerge w:val="continue"/>
            <w:shd w:val="clear" w:color="auto" w:fill="FFFFFF" w:themeFill="background1"/>
            <w:vAlign w:val="center"/>
          </w:tcPr>
          <w:p w14:paraId="52A9FAC2">
            <w:pPr>
              <w:widowControl/>
              <w:rPr>
                <w:rFonts w:hAnsi="宋体"/>
                <w:color w:val="auto"/>
                <w:sz w:val="21"/>
                <w:szCs w:val="21"/>
                <w:highlight w:val="none"/>
              </w:rPr>
            </w:pPr>
          </w:p>
        </w:tc>
        <w:tc>
          <w:tcPr>
            <w:tcW w:w="709" w:type="dxa"/>
            <w:shd w:val="clear" w:color="auto" w:fill="FFFFFF" w:themeFill="background1"/>
            <w:vAlign w:val="center"/>
          </w:tcPr>
          <w:p w14:paraId="4F4B30E2">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B884B96">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08B6BCDA">
            <w:pPr>
              <w:widowControl/>
              <w:jc w:val="center"/>
              <w:rPr>
                <w:rFonts w:hAnsi="宋体"/>
                <w:color w:val="auto"/>
                <w:sz w:val="21"/>
                <w:szCs w:val="21"/>
                <w:highlight w:val="none"/>
              </w:rPr>
            </w:pPr>
            <w:r>
              <w:rPr>
                <w:rFonts w:hint="eastAsia" w:hAnsi="宋体"/>
                <w:color w:val="auto"/>
                <w:sz w:val="21"/>
                <w:szCs w:val="21"/>
                <w:highlight w:val="none"/>
              </w:rPr>
              <w:t>桥梁数量：144</w:t>
            </w:r>
          </w:p>
        </w:tc>
      </w:tr>
      <w:tr w14:paraId="6F033E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restart"/>
            <w:shd w:val="clear" w:color="auto" w:fill="FFFFFF" w:themeFill="background1"/>
            <w:noWrap/>
            <w:vAlign w:val="center"/>
          </w:tcPr>
          <w:p w14:paraId="417563A2">
            <w:pPr>
              <w:widowControl/>
              <w:jc w:val="center"/>
              <w:rPr>
                <w:rFonts w:hAnsi="宋体"/>
                <w:color w:val="auto"/>
                <w:sz w:val="21"/>
                <w:szCs w:val="21"/>
                <w:highlight w:val="none"/>
              </w:rPr>
            </w:pPr>
            <w:r>
              <w:rPr>
                <w:rFonts w:hint="eastAsia" w:hAnsi="宋体"/>
                <w:color w:val="auto"/>
                <w:sz w:val="21"/>
                <w:szCs w:val="21"/>
                <w:highlight w:val="none"/>
              </w:rPr>
              <w:t>机械清扫</w:t>
            </w:r>
          </w:p>
        </w:tc>
        <w:tc>
          <w:tcPr>
            <w:tcW w:w="1098" w:type="dxa"/>
            <w:vMerge w:val="restart"/>
            <w:shd w:val="clear" w:color="auto" w:fill="FFFFFF" w:themeFill="background1"/>
            <w:vAlign w:val="center"/>
          </w:tcPr>
          <w:p w14:paraId="455E9525">
            <w:pPr>
              <w:widowControl/>
              <w:jc w:val="center"/>
              <w:rPr>
                <w:rFonts w:hAnsi="宋体"/>
                <w:color w:val="auto"/>
                <w:sz w:val="21"/>
                <w:szCs w:val="21"/>
                <w:highlight w:val="none"/>
              </w:rPr>
            </w:pPr>
            <w:r>
              <w:rPr>
                <w:rFonts w:hint="eastAsia" w:hAnsi="宋体"/>
                <w:color w:val="auto"/>
                <w:sz w:val="21"/>
                <w:szCs w:val="21"/>
                <w:highlight w:val="none"/>
              </w:rPr>
              <w:t>机械清扫</w:t>
            </w:r>
          </w:p>
        </w:tc>
        <w:tc>
          <w:tcPr>
            <w:tcW w:w="2339" w:type="dxa"/>
            <w:vMerge w:val="restart"/>
            <w:shd w:val="clear" w:color="auto" w:fill="FFFFFF" w:themeFill="background1"/>
            <w:vAlign w:val="center"/>
          </w:tcPr>
          <w:p w14:paraId="1FE2544A">
            <w:pPr>
              <w:widowControl/>
              <w:rPr>
                <w:rFonts w:hAnsi="宋体"/>
                <w:color w:val="auto"/>
                <w:sz w:val="21"/>
                <w:szCs w:val="21"/>
                <w:highlight w:val="none"/>
              </w:rPr>
            </w:pPr>
            <w:r>
              <w:rPr>
                <w:rFonts w:hint="eastAsia" w:hAnsi="宋体"/>
                <w:color w:val="auto"/>
                <w:sz w:val="21"/>
                <w:szCs w:val="21"/>
                <w:highlight w:val="none"/>
              </w:rPr>
              <w:t>1.机械清扫;2.定点堆放；3、垃圾装卸、运输、处理。</w:t>
            </w:r>
          </w:p>
        </w:tc>
        <w:tc>
          <w:tcPr>
            <w:tcW w:w="921" w:type="dxa"/>
            <w:shd w:val="clear" w:color="auto" w:fill="FFFFFF" w:themeFill="background1"/>
            <w:vAlign w:val="center"/>
          </w:tcPr>
          <w:p w14:paraId="6027319A">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11488079">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15701736">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31BACFFF">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C876703">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C39D563">
            <w:pPr>
              <w:widowControl/>
              <w:jc w:val="center"/>
              <w:rPr>
                <w:rFonts w:hAnsi="宋体"/>
                <w:color w:val="auto"/>
                <w:sz w:val="21"/>
                <w:szCs w:val="21"/>
                <w:highlight w:val="none"/>
              </w:rPr>
            </w:pPr>
            <w:r>
              <w:rPr>
                <w:rFonts w:hint="eastAsia" w:hAnsi="宋体"/>
                <w:color w:val="auto"/>
                <w:sz w:val="21"/>
                <w:szCs w:val="21"/>
                <w:highlight w:val="none"/>
              </w:rPr>
              <w:t>每天清扫里程不少于300km</w:t>
            </w:r>
          </w:p>
        </w:tc>
      </w:tr>
      <w:tr w14:paraId="7A7087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545E70D4">
            <w:pPr>
              <w:widowControl/>
              <w:rPr>
                <w:rFonts w:hAnsi="宋体"/>
                <w:color w:val="auto"/>
                <w:sz w:val="21"/>
                <w:szCs w:val="21"/>
                <w:highlight w:val="none"/>
              </w:rPr>
            </w:pPr>
          </w:p>
        </w:tc>
        <w:tc>
          <w:tcPr>
            <w:tcW w:w="1098" w:type="dxa"/>
            <w:vMerge w:val="continue"/>
            <w:shd w:val="clear" w:color="auto" w:fill="FFFFFF" w:themeFill="background1"/>
            <w:vAlign w:val="center"/>
          </w:tcPr>
          <w:p w14:paraId="13596D7E">
            <w:pPr>
              <w:widowControl/>
              <w:rPr>
                <w:rFonts w:hAnsi="宋体"/>
                <w:color w:val="auto"/>
                <w:sz w:val="21"/>
                <w:szCs w:val="21"/>
                <w:highlight w:val="none"/>
              </w:rPr>
            </w:pPr>
          </w:p>
        </w:tc>
        <w:tc>
          <w:tcPr>
            <w:tcW w:w="2339" w:type="dxa"/>
            <w:vMerge w:val="continue"/>
            <w:shd w:val="clear" w:color="auto" w:fill="FFFFFF" w:themeFill="background1"/>
            <w:vAlign w:val="center"/>
          </w:tcPr>
          <w:p w14:paraId="151CC1F0">
            <w:pPr>
              <w:widowControl/>
              <w:rPr>
                <w:rFonts w:hAnsi="宋体"/>
                <w:color w:val="auto"/>
                <w:sz w:val="21"/>
                <w:szCs w:val="21"/>
                <w:highlight w:val="none"/>
              </w:rPr>
            </w:pPr>
          </w:p>
        </w:tc>
        <w:tc>
          <w:tcPr>
            <w:tcW w:w="921" w:type="dxa"/>
            <w:shd w:val="clear" w:color="auto" w:fill="FFFFFF" w:themeFill="background1"/>
            <w:vAlign w:val="center"/>
          </w:tcPr>
          <w:p w14:paraId="55359FA3">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2091DA18">
            <w:pPr>
              <w:widowControl/>
              <w:rPr>
                <w:rFonts w:hAnsi="宋体"/>
                <w:color w:val="auto"/>
                <w:sz w:val="21"/>
                <w:szCs w:val="21"/>
                <w:highlight w:val="none"/>
              </w:rPr>
            </w:pPr>
          </w:p>
        </w:tc>
        <w:tc>
          <w:tcPr>
            <w:tcW w:w="650" w:type="dxa"/>
            <w:vMerge w:val="continue"/>
            <w:shd w:val="clear" w:color="auto" w:fill="FFFFFF" w:themeFill="background1"/>
            <w:vAlign w:val="center"/>
          </w:tcPr>
          <w:p w14:paraId="13EAC315">
            <w:pPr>
              <w:widowControl/>
              <w:rPr>
                <w:rFonts w:hAnsi="宋体"/>
                <w:color w:val="auto"/>
                <w:sz w:val="21"/>
                <w:szCs w:val="21"/>
                <w:highlight w:val="none"/>
              </w:rPr>
            </w:pPr>
          </w:p>
        </w:tc>
        <w:tc>
          <w:tcPr>
            <w:tcW w:w="709" w:type="dxa"/>
            <w:shd w:val="clear" w:color="auto" w:fill="FFFFFF" w:themeFill="background1"/>
            <w:vAlign w:val="center"/>
          </w:tcPr>
          <w:p w14:paraId="349377A5">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62FA302C">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00C76AF2">
            <w:pPr>
              <w:widowControl/>
              <w:jc w:val="center"/>
              <w:rPr>
                <w:rFonts w:hAnsi="宋体"/>
                <w:color w:val="auto"/>
                <w:sz w:val="21"/>
                <w:szCs w:val="21"/>
                <w:highlight w:val="none"/>
              </w:rPr>
            </w:pPr>
            <w:r>
              <w:rPr>
                <w:rFonts w:hint="eastAsia" w:hAnsi="宋体"/>
                <w:color w:val="auto"/>
                <w:sz w:val="21"/>
                <w:szCs w:val="21"/>
                <w:highlight w:val="none"/>
              </w:rPr>
              <w:t>每天清扫里程不少于200km</w:t>
            </w:r>
          </w:p>
        </w:tc>
      </w:tr>
      <w:tr w14:paraId="077A08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146FD5FF">
            <w:pPr>
              <w:widowControl/>
              <w:rPr>
                <w:rFonts w:hAnsi="宋体"/>
                <w:color w:val="auto"/>
                <w:sz w:val="21"/>
                <w:szCs w:val="21"/>
                <w:highlight w:val="none"/>
              </w:rPr>
            </w:pPr>
          </w:p>
        </w:tc>
        <w:tc>
          <w:tcPr>
            <w:tcW w:w="1098" w:type="dxa"/>
            <w:vMerge w:val="restart"/>
            <w:shd w:val="clear" w:color="auto" w:fill="FFFFFF" w:themeFill="background1"/>
            <w:vAlign w:val="center"/>
          </w:tcPr>
          <w:p w14:paraId="4BBFD5D7">
            <w:pPr>
              <w:widowControl/>
              <w:jc w:val="center"/>
              <w:rPr>
                <w:rFonts w:hAnsi="宋体"/>
                <w:color w:val="auto"/>
                <w:sz w:val="21"/>
                <w:szCs w:val="21"/>
                <w:highlight w:val="none"/>
              </w:rPr>
            </w:pPr>
            <w:r>
              <w:rPr>
                <w:rFonts w:hint="eastAsia" w:hAnsi="宋体"/>
                <w:color w:val="auto"/>
                <w:sz w:val="21"/>
                <w:szCs w:val="21"/>
                <w:highlight w:val="none"/>
              </w:rPr>
              <w:t>护栏清洗</w:t>
            </w:r>
          </w:p>
        </w:tc>
        <w:tc>
          <w:tcPr>
            <w:tcW w:w="2339" w:type="dxa"/>
            <w:vMerge w:val="restart"/>
            <w:shd w:val="clear" w:color="auto" w:fill="FFFFFF" w:themeFill="background1"/>
            <w:vAlign w:val="center"/>
          </w:tcPr>
          <w:p w14:paraId="5C05207E">
            <w:pPr>
              <w:widowControl/>
              <w:rPr>
                <w:rFonts w:hAnsi="宋体"/>
                <w:color w:val="auto"/>
                <w:sz w:val="21"/>
                <w:szCs w:val="21"/>
                <w:highlight w:val="none"/>
              </w:rPr>
            </w:pPr>
            <w:r>
              <w:rPr>
                <w:rFonts w:hint="eastAsia" w:hAnsi="宋体"/>
                <w:color w:val="auto"/>
                <w:sz w:val="21"/>
                <w:szCs w:val="21"/>
                <w:highlight w:val="none"/>
              </w:rPr>
              <w:t>1.使用护栏清洗车进行清理。</w:t>
            </w:r>
          </w:p>
        </w:tc>
        <w:tc>
          <w:tcPr>
            <w:tcW w:w="921" w:type="dxa"/>
            <w:shd w:val="clear" w:color="auto" w:fill="FFFFFF" w:themeFill="background1"/>
            <w:vAlign w:val="center"/>
          </w:tcPr>
          <w:p w14:paraId="123CF291">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A99607E">
            <w:pPr>
              <w:widowControl/>
              <w:rPr>
                <w:rFonts w:hAnsi="宋体"/>
                <w:color w:val="auto"/>
                <w:sz w:val="21"/>
                <w:szCs w:val="21"/>
                <w:highlight w:val="none"/>
              </w:rPr>
            </w:pPr>
          </w:p>
        </w:tc>
        <w:tc>
          <w:tcPr>
            <w:tcW w:w="650" w:type="dxa"/>
            <w:vMerge w:val="restart"/>
            <w:shd w:val="clear" w:color="auto" w:fill="FFFFFF" w:themeFill="background1"/>
            <w:vAlign w:val="center"/>
          </w:tcPr>
          <w:p w14:paraId="36C6C068">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6B4B303E">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F1A0099">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77301AF">
            <w:pPr>
              <w:widowControl/>
              <w:jc w:val="center"/>
              <w:rPr>
                <w:rFonts w:hAnsi="宋体"/>
                <w:color w:val="auto"/>
                <w:sz w:val="21"/>
                <w:szCs w:val="21"/>
                <w:highlight w:val="none"/>
              </w:rPr>
            </w:pPr>
            <w:r>
              <w:rPr>
                <w:rFonts w:hint="eastAsia" w:hAnsi="宋体"/>
                <w:color w:val="auto"/>
                <w:sz w:val="21"/>
                <w:szCs w:val="21"/>
                <w:highlight w:val="none"/>
              </w:rPr>
              <w:t>按每周4次，每次不少于10km</w:t>
            </w:r>
          </w:p>
        </w:tc>
      </w:tr>
      <w:tr w14:paraId="2B95B8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42C0EEFB">
            <w:pPr>
              <w:widowControl/>
              <w:rPr>
                <w:rFonts w:hAnsi="宋体"/>
                <w:color w:val="auto"/>
                <w:sz w:val="21"/>
                <w:szCs w:val="21"/>
                <w:highlight w:val="none"/>
              </w:rPr>
            </w:pPr>
          </w:p>
        </w:tc>
        <w:tc>
          <w:tcPr>
            <w:tcW w:w="1098" w:type="dxa"/>
            <w:vMerge w:val="continue"/>
            <w:shd w:val="clear" w:color="auto" w:fill="FFFFFF" w:themeFill="background1"/>
            <w:vAlign w:val="center"/>
          </w:tcPr>
          <w:p w14:paraId="0C66DE29">
            <w:pPr>
              <w:widowControl/>
              <w:rPr>
                <w:rFonts w:hAnsi="宋体"/>
                <w:color w:val="auto"/>
                <w:sz w:val="21"/>
                <w:szCs w:val="21"/>
                <w:highlight w:val="none"/>
              </w:rPr>
            </w:pPr>
          </w:p>
        </w:tc>
        <w:tc>
          <w:tcPr>
            <w:tcW w:w="2339" w:type="dxa"/>
            <w:vMerge w:val="continue"/>
            <w:shd w:val="clear" w:color="auto" w:fill="FFFFFF" w:themeFill="background1"/>
            <w:vAlign w:val="center"/>
          </w:tcPr>
          <w:p w14:paraId="77468608">
            <w:pPr>
              <w:widowControl/>
              <w:rPr>
                <w:rFonts w:hAnsi="宋体"/>
                <w:color w:val="auto"/>
                <w:sz w:val="21"/>
                <w:szCs w:val="21"/>
                <w:highlight w:val="none"/>
              </w:rPr>
            </w:pPr>
          </w:p>
        </w:tc>
        <w:tc>
          <w:tcPr>
            <w:tcW w:w="921" w:type="dxa"/>
            <w:shd w:val="clear" w:color="auto" w:fill="FFFFFF" w:themeFill="background1"/>
            <w:vAlign w:val="center"/>
          </w:tcPr>
          <w:p w14:paraId="28B41FB7">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475A613B">
            <w:pPr>
              <w:widowControl/>
              <w:rPr>
                <w:rFonts w:hAnsi="宋体"/>
                <w:color w:val="auto"/>
                <w:sz w:val="21"/>
                <w:szCs w:val="21"/>
                <w:highlight w:val="none"/>
              </w:rPr>
            </w:pPr>
          </w:p>
        </w:tc>
        <w:tc>
          <w:tcPr>
            <w:tcW w:w="650" w:type="dxa"/>
            <w:vMerge w:val="continue"/>
            <w:shd w:val="clear" w:color="auto" w:fill="FFFFFF" w:themeFill="background1"/>
            <w:vAlign w:val="center"/>
          </w:tcPr>
          <w:p w14:paraId="2819611F">
            <w:pPr>
              <w:widowControl/>
              <w:rPr>
                <w:rFonts w:hAnsi="宋体"/>
                <w:color w:val="auto"/>
                <w:sz w:val="21"/>
                <w:szCs w:val="21"/>
                <w:highlight w:val="none"/>
              </w:rPr>
            </w:pPr>
          </w:p>
        </w:tc>
        <w:tc>
          <w:tcPr>
            <w:tcW w:w="709" w:type="dxa"/>
            <w:shd w:val="clear" w:color="auto" w:fill="FFFFFF" w:themeFill="background1"/>
            <w:vAlign w:val="center"/>
          </w:tcPr>
          <w:p w14:paraId="15129873">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6D834265">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42B32628">
            <w:pPr>
              <w:widowControl/>
              <w:jc w:val="center"/>
              <w:rPr>
                <w:rFonts w:hAnsi="宋体"/>
                <w:color w:val="auto"/>
                <w:sz w:val="21"/>
                <w:szCs w:val="21"/>
                <w:highlight w:val="none"/>
              </w:rPr>
            </w:pPr>
            <w:r>
              <w:rPr>
                <w:rFonts w:hint="eastAsia" w:hAnsi="宋体"/>
                <w:color w:val="auto"/>
                <w:sz w:val="21"/>
                <w:szCs w:val="21"/>
                <w:highlight w:val="none"/>
              </w:rPr>
              <w:t>按每周4次，每次不少于10km</w:t>
            </w:r>
          </w:p>
        </w:tc>
      </w:tr>
      <w:tr w14:paraId="7DC100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9D348B8">
            <w:pPr>
              <w:widowControl/>
              <w:rPr>
                <w:rFonts w:hAnsi="宋体"/>
                <w:color w:val="auto"/>
                <w:sz w:val="21"/>
                <w:szCs w:val="21"/>
                <w:highlight w:val="none"/>
              </w:rPr>
            </w:pPr>
          </w:p>
        </w:tc>
        <w:tc>
          <w:tcPr>
            <w:tcW w:w="1098" w:type="dxa"/>
            <w:vMerge w:val="restart"/>
            <w:shd w:val="clear" w:color="auto" w:fill="FFFFFF" w:themeFill="background1"/>
            <w:vAlign w:val="center"/>
          </w:tcPr>
          <w:p w14:paraId="0469B048">
            <w:pPr>
              <w:widowControl/>
              <w:jc w:val="center"/>
              <w:rPr>
                <w:rFonts w:hAnsi="宋体"/>
                <w:color w:val="auto"/>
                <w:sz w:val="21"/>
                <w:szCs w:val="21"/>
                <w:highlight w:val="none"/>
              </w:rPr>
            </w:pPr>
            <w:r>
              <w:rPr>
                <w:rFonts w:hint="eastAsia" w:hAnsi="宋体"/>
                <w:color w:val="auto"/>
                <w:sz w:val="21"/>
                <w:szCs w:val="21"/>
                <w:highlight w:val="none"/>
              </w:rPr>
              <w:t>洒水车洒水降温</w:t>
            </w:r>
          </w:p>
        </w:tc>
        <w:tc>
          <w:tcPr>
            <w:tcW w:w="2339" w:type="dxa"/>
            <w:vMerge w:val="restart"/>
            <w:shd w:val="clear" w:color="auto" w:fill="FFFFFF" w:themeFill="background1"/>
            <w:vAlign w:val="center"/>
          </w:tcPr>
          <w:p w14:paraId="238B692C">
            <w:pPr>
              <w:widowControl/>
              <w:rPr>
                <w:rFonts w:hAnsi="宋体"/>
                <w:color w:val="auto"/>
                <w:sz w:val="21"/>
                <w:szCs w:val="21"/>
                <w:highlight w:val="none"/>
              </w:rPr>
            </w:pPr>
            <w:r>
              <w:rPr>
                <w:rFonts w:hint="eastAsia" w:hAnsi="宋体"/>
                <w:color w:val="auto"/>
                <w:sz w:val="21"/>
                <w:szCs w:val="21"/>
                <w:highlight w:val="none"/>
              </w:rPr>
              <w:t>1.取水、运输;2.洒水、路面冲洗。</w:t>
            </w:r>
          </w:p>
        </w:tc>
        <w:tc>
          <w:tcPr>
            <w:tcW w:w="921" w:type="dxa"/>
            <w:shd w:val="clear" w:color="auto" w:fill="FFFFFF" w:themeFill="background1"/>
            <w:vAlign w:val="center"/>
          </w:tcPr>
          <w:p w14:paraId="28217E9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20B224DC">
            <w:pPr>
              <w:widowControl/>
              <w:rPr>
                <w:rFonts w:hAnsi="宋体"/>
                <w:color w:val="auto"/>
                <w:sz w:val="21"/>
                <w:szCs w:val="21"/>
                <w:highlight w:val="none"/>
              </w:rPr>
            </w:pPr>
          </w:p>
        </w:tc>
        <w:tc>
          <w:tcPr>
            <w:tcW w:w="650" w:type="dxa"/>
            <w:vMerge w:val="restart"/>
            <w:shd w:val="clear" w:color="auto" w:fill="FFFFFF" w:themeFill="background1"/>
            <w:vAlign w:val="center"/>
          </w:tcPr>
          <w:p w14:paraId="6BF5C7E3">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49BB450C">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04DC53E">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6557109C">
            <w:pPr>
              <w:widowControl/>
              <w:jc w:val="center"/>
              <w:rPr>
                <w:rFonts w:hAnsi="宋体"/>
                <w:color w:val="auto"/>
                <w:sz w:val="21"/>
                <w:szCs w:val="21"/>
                <w:highlight w:val="none"/>
              </w:rPr>
            </w:pPr>
            <w:r>
              <w:rPr>
                <w:rFonts w:hint="eastAsia" w:hAnsi="宋体"/>
                <w:color w:val="auto"/>
                <w:sz w:val="21"/>
                <w:szCs w:val="21"/>
                <w:highlight w:val="none"/>
              </w:rPr>
              <w:t>按每周2次，每次不少于20km</w:t>
            </w:r>
          </w:p>
        </w:tc>
      </w:tr>
      <w:tr w14:paraId="519EFF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E4C4825">
            <w:pPr>
              <w:widowControl/>
              <w:rPr>
                <w:rFonts w:hAnsi="宋体"/>
                <w:color w:val="auto"/>
                <w:sz w:val="21"/>
                <w:szCs w:val="21"/>
                <w:highlight w:val="none"/>
              </w:rPr>
            </w:pPr>
          </w:p>
        </w:tc>
        <w:tc>
          <w:tcPr>
            <w:tcW w:w="1098" w:type="dxa"/>
            <w:vMerge w:val="continue"/>
            <w:shd w:val="clear" w:color="auto" w:fill="FFFFFF" w:themeFill="background1"/>
            <w:vAlign w:val="center"/>
          </w:tcPr>
          <w:p w14:paraId="6254567C">
            <w:pPr>
              <w:widowControl/>
              <w:rPr>
                <w:rFonts w:hAnsi="宋体"/>
                <w:color w:val="auto"/>
                <w:sz w:val="21"/>
                <w:szCs w:val="21"/>
                <w:highlight w:val="none"/>
              </w:rPr>
            </w:pPr>
          </w:p>
        </w:tc>
        <w:tc>
          <w:tcPr>
            <w:tcW w:w="2339" w:type="dxa"/>
            <w:vMerge w:val="continue"/>
            <w:shd w:val="clear" w:color="auto" w:fill="FFFFFF" w:themeFill="background1"/>
            <w:vAlign w:val="center"/>
          </w:tcPr>
          <w:p w14:paraId="1B6E4A8C">
            <w:pPr>
              <w:widowControl/>
              <w:rPr>
                <w:rFonts w:hAnsi="宋体"/>
                <w:color w:val="auto"/>
                <w:sz w:val="21"/>
                <w:szCs w:val="21"/>
                <w:highlight w:val="none"/>
              </w:rPr>
            </w:pPr>
          </w:p>
        </w:tc>
        <w:tc>
          <w:tcPr>
            <w:tcW w:w="921" w:type="dxa"/>
            <w:shd w:val="clear" w:color="auto" w:fill="FFFFFF" w:themeFill="background1"/>
            <w:vAlign w:val="center"/>
          </w:tcPr>
          <w:p w14:paraId="0E279DB6">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23D69AB">
            <w:pPr>
              <w:widowControl/>
              <w:rPr>
                <w:rFonts w:hAnsi="宋体"/>
                <w:color w:val="auto"/>
                <w:sz w:val="21"/>
                <w:szCs w:val="21"/>
                <w:highlight w:val="none"/>
              </w:rPr>
            </w:pPr>
          </w:p>
        </w:tc>
        <w:tc>
          <w:tcPr>
            <w:tcW w:w="650" w:type="dxa"/>
            <w:vMerge w:val="continue"/>
            <w:shd w:val="clear" w:color="auto" w:fill="FFFFFF" w:themeFill="background1"/>
            <w:vAlign w:val="center"/>
          </w:tcPr>
          <w:p w14:paraId="2EBD6964">
            <w:pPr>
              <w:widowControl/>
              <w:rPr>
                <w:rFonts w:hAnsi="宋体"/>
                <w:color w:val="auto"/>
                <w:sz w:val="21"/>
                <w:szCs w:val="21"/>
                <w:highlight w:val="none"/>
              </w:rPr>
            </w:pPr>
          </w:p>
        </w:tc>
        <w:tc>
          <w:tcPr>
            <w:tcW w:w="709" w:type="dxa"/>
            <w:shd w:val="clear" w:color="auto" w:fill="FFFFFF" w:themeFill="background1"/>
            <w:vAlign w:val="center"/>
          </w:tcPr>
          <w:p w14:paraId="2CE14750">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8A558BE">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3569A95F">
            <w:pPr>
              <w:widowControl/>
              <w:jc w:val="center"/>
              <w:rPr>
                <w:rFonts w:hAnsi="宋体"/>
                <w:color w:val="auto"/>
                <w:sz w:val="21"/>
                <w:szCs w:val="21"/>
                <w:highlight w:val="none"/>
              </w:rPr>
            </w:pPr>
            <w:r>
              <w:rPr>
                <w:rFonts w:hint="eastAsia" w:hAnsi="宋体"/>
                <w:color w:val="auto"/>
                <w:sz w:val="21"/>
                <w:szCs w:val="21"/>
                <w:highlight w:val="none"/>
              </w:rPr>
              <w:t>按每周2次，每次不少于20km</w:t>
            </w:r>
          </w:p>
        </w:tc>
      </w:tr>
      <w:tr w14:paraId="02BC99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55" w:hRule="atLeast"/>
          <w:jc w:val="center"/>
        </w:trPr>
        <w:tc>
          <w:tcPr>
            <w:tcW w:w="699" w:type="dxa"/>
            <w:vMerge w:val="restart"/>
            <w:shd w:val="clear" w:color="auto" w:fill="FFFFFF" w:themeFill="background1"/>
            <w:noWrap/>
            <w:vAlign w:val="center"/>
          </w:tcPr>
          <w:p w14:paraId="44E32E22">
            <w:pPr>
              <w:widowControl/>
              <w:jc w:val="center"/>
              <w:rPr>
                <w:rFonts w:hAnsi="宋体"/>
                <w:color w:val="auto"/>
                <w:sz w:val="21"/>
                <w:szCs w:val="21"/>
                <w:highlight w:val="none"/>
              </w:rPr>
            </w:pPr>
            <w:r>
              <w:rPr>
                <w:rFonts w:hint="eastAsia" w:hAnsi="宋体"/>
                <w:color w:val="auto"/>
                <w:sz w:val="21"/>
                <w:szCs w:val="21"/>
                <w:highlight w:val="none"/>
              </w:rPr>
              <w:t>综合养护</w:t>
            </w:r>
          </w:p>
        </w:tc>
        <w:tc>
          <w:tcPr>
            <w:tcW w:w="1098" w:type="dxa"/>
            <w:vMerge w:val="restart"/>
            <w:shd w:val="clear" w:color="auto" w:fill="FFFFFF" w:themeFill="background1"/>
            <w:vAlign w:val="center"/>
          </w:tcPr>
          <w:p w14:paraId="7A0B92FE">
            <w:pPr>
              <w:widowControl/>
              <w:jc w:val="center"/>
              <w:rPr>
                <w:rFonts w:hAnsi="宋体"/>
                <w:color w:val="auto"/>
                <w:sz w:val="21"/>
                <w:szCs w:val="21"/>
                <w:highlight w:val="none"/>
              </w:rPr>
            </w:pPr>
            <w:r>
              <w:rPr>
                <w:rFonts w:hint="eastAsia" w:hAnsi="宋体"/>
                <w:color w:val="auto"/>
                <w:sz w:val="21"/>
                <w:szCs w:val="21"/>
                <w:highlight w:val="none"/>
              </w:rPr>
              <w:t>坑槽修补（冷补料修补）</w:t>
            </w:r>
          </w:p>
        </w:tc>
        <w:tc>
          <w:tcPr>
            <w:tcW w:w="2339" w:type="dxa"/>
            <w:vMerge w:val="restart"/>
            <w:shd w:val="clear" w:color="auto" w:fill="FFFFFF" w:themeFill="background1"/>
            <w:vAlign w:val="center"/>
          </w:tcPr>
          <w:p w14:paraId="3056EB2D">
            <w:pPr>
              <w:widowControl/>
              <w:rPr>
                <w:rFonts w:hAnsi="宋体"/>
                <w:color w:val="auto"/>
                <w:sz w:val="21"/>
                <w:szCs w:val="21"/>
                <w:highlight w:val="none"/>
              </w:rPr>
            </w:pPr>
            <w:r>
              <w:rPr>
                <w:rFonts w:hint="eastAsia" w:hAnsi="宋体"/>
                <w:color w:val="auto"/>
                <w:sz w:val="21"/>
                <w:szCs w:val="21"/>
                <w:highlight w:val="none"/>
              </w:rPr>
              <w:t>1.作业面清理;2拆除旧沥青混合料，废料清理、装卸、运输、定点堆放；3.摊铺、整平、碾压；4.沥青冷补料修补。5.冷补材料需采购人确认后方可使用。</w:t>
            </w:r>
          </w:p>
        </w:tc>
        <w:tc>
          <w:tcPr>
            <w:tcW w:w="921" w:type="dxa"/>
            <w:shd w:val="clear" w:color="auto" w:fill="FFFFFF" w:themeFill="background1"/>
            <w:vAlign w:val="center"/>
          </w:tcPr>
          <w:p w14:paraId="2D7B299C">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1DDEEDB7">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4CF849F6">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5E97CFA3">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2E1311A5">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4D964022">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服务期内根据采购人要求进行修补，面积约21m³</w:t>
            </w:r>
          </w:p>
        </w:tc>
      </w:tr>
      <w:tr w14:paraId="4DFA69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5C2FE9AF">
            <w:pPr>
              <w:widowControl/>
              <w:rPr>
                <w:rFonts w:hAnsi="宋体"/>
                <w:color w:val="auto"/>
                <w:sz w:val="21"/>
                <w:szCs w:val="21"/>
                <w:highlight w:val="none"/>
              </w:rPr>
            </w:pPr>
          </w:p>
        </w:tc>
        <w:tc>
          <w:tcPr>
            <w:tcW w:w="1098" w:type="dxa"/>
            <w:vMerge w:val="continue"/>
            <w:shd w:val="clear" w:color="auto" w:fill="FFFFFF" w:themeFill="background1"/>
            <w:vAlign w:val="center"/>
          </w:tcPr>
          <w:p w14:paraId="0228B3F1">
            <w:pPr>
              <w:widowControl/>
              <w:rPr>
                <w:rFonts w:hAnsi="宋体"/>
                <w:color w:val="auto"/>
                <w:sz w:val="21"/>
                <w:szCs w:val="21"/>
                <w:highlight w:val="none"/>
              </w:rPr>
            </w:pPr>
          </w:p>
        </w:tc>
        <w:tc>
          <w:tcPr>
            <w:tcW w:w="2339" w:type="dxa"/>
            <w:vMerge w:val="continue"/>
            <w:shd w:val="clear" w:color="auto" w:fill="FFFFFF" w:themeFill="background1"/>
            <w:vAlign w:val="center"/>
          </w:tcPr>
          <w:p w14:paraId="7A4EDBCF">
            <w:pPr>
              <w:widowControl/>
              <w:rPr>
                <w:rFonts w:hAnsi="宋体"/>
                <w:color w:val="auto"/>
                <w:sz w:val="21"/>
                <w:szCs w:val="21"/>
                <w:highlight w:val="none"/>
              </w:rPr>
            </w:pPr>
          </w:p>
        </w:tc>
        <w:tc>
          <w:tcPr>
            <w:tcW w:w="921" w:type="dxa"/>
            <w:shd w:val="clear" w:color="auto" w:fill="FFFFFF" w:themeFill="background1"/>
            <w:vAlign w:val="center"/>
          </w:tcPr>
          <w:p w14:paraId="3E9CCA39">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2BE1D680">
            <w:pPr>
              <w:widowControl/>
              <w:rPr>
                <w:rFonts w:hAnsi="宋体"/>
                <w:color w:val="auto"/>
                <w:sz w:val="21"/>
                <w:szCs w:val="21"/>
                <w:highlight w:val="none"/>
              </w:rPr>
            </w:pPr>
          </w:p>
        </w:tc>
        <w:tc>
          <w:tcPr>
            <w:tcW w:w="650" w:type="dxa"/>
            <w:vMerge w:val="continue"/>
            <w:shd w:val="clear" w:color="auto" w:fill="FFFFFF" w:themeFill="background1"/>
            <w:vAlign w:val="center"/>
          </w:tcPr>
          <w:p w14:paraId="50CF7E95">
            <w:pPr>
              <w:widowControl/>
              <w:rPr>
                <w:rFonts w:hAnsi="宋体"/>
                <w:color w:val="auto"/>
                <w:sz w:val="21"/>
                <w:szCs w:val="21"/>
                <w:highlight w:val="none"/>
              </w:rPr>
            </w:pPr>
          </w:p>
        </w:tc>
        <w:tc>
          <w:tcPr>
            <w:tcW w:w="709" w:type="dxa"/>
            <w:shd w:val="clear" w:color="auto" w:fill="FFFFFF" w:themeFill="background1"/>
            <w:vAlign w:val="center"/>
          </w:tcPr>
          <w:p w14:paraId="0526F508">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1699D58">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2746A828">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服务期内根据采购人要求进行修补，面积约16m³</w:t>
            </w:r>
          </w:p>
        </w:tc>
      </w:tr>
      <w:tr w14:paraId="2C5D57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trHeight w:val="1190" w:hRule="atLeast"/>
          <w:jc w:val="center"/>
        </w:trPr>
        <w:tc>
          <w:tcPr>
            <w:tcW w:w="699" w:type="dxa"/>
            <w:vMerge w:val="continue"/>
            <w:shd w:val="clear" w:color="auto" w:fill="FFFFFF" w:themeFill="background1"/>
            <w:vAlign w:val="center"/>
          </w:tcPr>
          <w:p w14:paraId="7C147163">
            <w:pPr>
              <w:widowControl/>
              <w:rPr>
                <w:rFonts w:hAnsi="宋体"/>
                <w:color w:val="auto"/>
                <w:sz w:val="21"/>
                <w:szCs w:val="21"/>
                <w:highlight w:val="none"/>
              </w:rPr>
            </w:pPr>
          </w:p>
        </w:tc>
        <w:tc>
          <w:tcPr>
            <w:tcW w:w="1098" w:type="dxa"/>
            <w:vMerge w:val="restart"/>
            <w:shd w:val="clear" w:color="auto" w:fill="FFFFFF" w:themeFill="background1"/>
            <w:vAlign w:val="center"/>
          </w:tcPr>
          <w:p w14:paraId="0692D6AA">
            <w:pPr>
              <w:widowControl/>
              <w:jc w:val="center"/>
              <w:rPr>
                <w:rFonts w:hAnsi="宋体"/>
                <w:color w:val="auto"/>
                <w:sz w:val="21"/>
                <w:szCs w:val="21"/>
                <w:highlight w:val="none"/>
              </w:rPr>
            </w:pPr>
            <w:r>
              <w:rPr>
                <w:rFonts w:hint="eastAsia" w:hAnsi="宋体"/>
                <w:color w:val="auto"/>
                <w:sz w:val="21"/>
                <w:szCs w:val="21"/>
                <w:highlight w:val="none"/>
              </w:rPr>
              <w:t>坑槽修补（热料热补）</w:t>
            </w:r>
          </w:p>
        </w:tc>
        <w:tc>
          <w:tcPr>
            <w:tcW w:w="2339" w:type="dxa"/>
            <w:vMerge w:val="restart"/>
            <w:shd w:val="clear" w:color="auto" w:fill="FFFFFF" w:themeFill="background1"/>
            <w:vAlign w:val="center"/>
          </w:tcPr>
          <w:p w14:paraId="544EBADC">
            <w:pPr>
              <w:widowControl/>
              <w:rPr>
                <w:rFonts w:hAnsi="宋体"/>
                <w:color w:val="auto"/>
                <w:sz w:val="21"/>
                <w:szCs w:val="21"/>
                <w:highlight w:val="none"/>
              </w:rPr>
            </w:pPr>
            <w:r>
              <w:rPr>
                <w:rFonts w:hint="eastAsia" w:hAnsi="宋体"/>
                <w:color w:val="auto"/>
                <w:sz w:val="21"/>
                <w:szCs w:val="21"/>
                <w:highlight w:val="none"/>
              </w:rPr>
              <w:t>1.作业面清理;2拆除旧沥青混合料，废料清理、装卸、运输、定点堆放；3.喷洒、涂覆黏合材料；4.混合料制备、运输、保温加热、摊铺、整平、碾压；5.热料热补，用综合维修车或者保温桶从料场取料后现场维修。6.热补材料需采购人确认后方可使用。</w:t>
            </w:r>
          </w:p>
        </w:tc>
        <w:tc>
          <w:tcPr>
            <w:tcW w:w="921" w:type="dxa"/>
            <w:shd w:val="clear" w:color="auto" w:fill="FFFFFF" w:themeFill="background1"/>
            <w:vAlign w:val="center"/>
          </w:tcPr>
          <w:p w14:paraId="792C1875">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32AFE742">
            <w:pPr>
              <w:widowControl/>
              <w:rPr>
                <w:rFonts w:hAnsi="宋体"/>
                <w:color w:val="auto"/>
                <w:sz w:val="21"/>
                <w:szCs w:val="21"/>
                <w:highlight w:val="none"/>
              </w:rPr>
            </w:pPr>
          </w:p>
        </w:tc>
        <w:tc>
          <w:tcPr>
            <w:tcW w:w="650" w:type="dxa"/>
            <w:vMerge w:val="restart"/>
            <w:shd w:val="clear" w:color="auto" w:fill="FFFFFF" w:themeFill="background1"/>
            <w:vAlign w:val="center"/>
          </w:tcPr>
          <w:p w14:paraId="179F6225">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17B13AA">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553D8F03">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338ACB1C">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服务期内根据采购人要求进行修补，面积约14m³</w:t>
            </w:r>
          </w:p>
        </w:tc>
      </w:tr>
      <w:tr w14:paraId="0C9168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4F679192">
            <w:pPr>
              <w:widowControl/>
              <w:rPr>
                <w:rFonts w:hAnsi="宋体"/>
                <w:color w:val="auto"/>
                <w:sz w:val="21"/>
                <w:szCs w:val="21"/>
                <w:highlight w:val="none"/>
              </w:rPr>
            </w:pPr>
          </w:p>
        </w:tc>
        <w:tc>
          <w:tcPr>
            <w:tcW w:w="1098" w:type="dxa"/>
            <w:vMerge w:val="continue"/>
            <w:shd w:val="clear" w:color="auto" w:fill="FFFFFF" w:themeFill="background1"/>
            <w:vAlign w:val="center"/>
          </w:tcPr>
          <w:p w14:paraId="07014090">
            <w:pPr>
              <w:widowControl/>
              <w:rPr>
                <w:rFonts w:hAnsi="宋体"/>
                <w:color w:val="auto"/>
                <w:sz w:val="21"/>
                <w:szCs w:val="21"/>
                <w:highlight w:val="none"/>
              </w:rPr>
            </w:pPr>
          </w:p>
        </w:tc>
        <w:tc>
          <w:tcPr>
            <w:tcW w:w="2339" w:type="dxa"/>
            <w:vMerge w:val="continue"/>
            <w:shd w:val="clear" w:color="auto" w:fill="FFFFFF" w:themeFill="background1"/>
            <w:vAlign w:val="center"/>
          </w:tcPr>
          <w:p w14:paraId="3D216B7A">
            <w:pPr>
              <w:widowControl/>
              <w:rPr>
                <w:rFonts w:hAnsi="宋体"/>
                <w:color w:val="auto"/>
                <w:sz w:val="21"/>
                <w:szCs w:val="21"/>
                <w:highlight w:val="none"/>
              </w:rPr>
            </w:pPr>
          </w:p>
        </w:tc>
        <w:tc>
          <w:tcPr>
            <w:tcW w:w="921" w:type="dxa"/>
            <w:shd w:val="clear" w:color="auto" w:fill="FFFFFF" w:themeFill="background1"/>
            <w:vAlign w:val="center"/>
          </w:tcPr>
          <w:p w14:paraId="7362D962">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3CB3FA91">
            <w:pPr>
              <w:widowControl/>
              <w:rPr>
                <w:rFonts w:hAnsi="宋体"/>
                <w:color w:val="auto"/>
                <w:sz w:val="21"/>
                <w:szCs w:val="21"/>
                <w:highlight w:val="none"/>
              </w:rPr>
            </w:pPr>
          </w:p>
        </w:tc>
        <w:tc>
          <w:tcPr>
            <w:tcW w:w="650" w:type="dxa"/>
            <w:vMerge w:val="continue"/>
            <w:shd w:val="clear" w:color="auto" w:fill="FFFFFF" w:themeFill="background1"/>
            <w:vAlign w:val="center"/>
          </w:tcPr>
          <w:p w14:paraId="49A25D56">
            <w:pPr>
              <w:widowControl/>
              <w:rPr>
                <w:rFonts w:hAnsi="宋体"/>
                <w:color w:val="auto"/>
                <w:sz w:val="21"/>
                <w:szCs w:val="21"/>
                <w:highlight w:val="none"/>
              </w:rPr>
            </w:pPr>
          </w:p>
        </w:tc>
        <w:tc>
          <w:tcPr>
            <w:tcW w:w="709" w:type="dxa"/>
            <w:shd w:val="clear" w:color="auto" w:fill="FFFFFF" w:themeFill="background1"/>
            <w:vAlign w:val="center"/>
          </w:tcPr>
          <w:p w14:paraId="758682DF">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C66A419">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598F74A8">
            <w:pPr>
              <w:widowControl/>
              <w:jc w:val="center"/>
              <w:rPr>
                <w:rFonts w:hAnsi="宋体"/>
                <w:color w:val="auto"/>
                <w:sz w:val="21"/>
                <w:szCs w:val="21"/>
                <w:highlight w:val="none"/>
              </w:rPr>
            </w:pPr>
            <w:r>
              <w:rPr>
                <w:rFonts w:hint="eastAsia" w:hAnsi="宋体"/>
                <w:color w:val="auto"/>
                <w:sz w:val="21"/>
                <w:szCs w:val="21"/>
                <w:highlight w:val="none"/>
              </w:rPr>
              <w:t>服务期内根据采购人要求进行修补，面积约5m³</w:t>
            </w:r>
          </w:p>
        </w:tc>
      </w:tr>
      <w:tr w14:paraId="30E45F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8" w:hRule="atLeast"/>
          <w:jc w:val="center"/>
        </w:trPr>
        <w:tc>
          <w:tcPr>
            <w:tcW w:w="699" w:type="dxa"/>
            <w:vMerge w:val="restart"/>
            <w:shd w:val="clear" w:color="auto" w:fill="FFFFFF" w:themeFill="background1"/>
            <w:noWrap/>
            <w:vAlign w:val="center"/>
          </w:tcPr>
          <w:p w14:paraId="72109C49">
            <w:pPr>
              <w:widowControl/>
              <w:jc w:val="center"/>
              <w:rPr>
                <w:rFonts w:hAnsi="宋体"/>
                <w:color w:val="auto"/>
                <w:sz w:val="21"/>
                <w:szCs w:val="21"/>
                <w:highlight w:val="none"/>
              </w:rPr>
            </w:pPr>
            <w:r>
              <w:rPr>
                <w:rFonts w:hint="eastAsia" w:hAnsi="宋体"/>
                <w:color w:val="auto"/>
                <w:sz w:val="21"/>
                <w:szCs w:val="21"/>
                <w:highlight w:val="none"/>
              </w:rPr>
              <w:t>应急处置</w:t>
            </w:r>
          </w:p>
        </w:tc>
        <w:tc>
          <w:tcPr>
            <w:tcW w:w="1098" w:type="dxa"/>
            <w:vMerge w:val="restart"/>
            <w:shd w:val="clear" w:color="auto" w:fill="FFFFFF" w:themeFill="background1"/>
            <w:vAlign w:val="center"/>
          </w:tcPr>
          <w:p w14:paraId="64660162">
            <w:pPr>
              <w:widowControl/>
              <w:jc w:val="center"/>
              <w:rPr>
                <w:rFonts w:hAnsi="宋体"/>
                <w:color w:val="auto"/>
                <w:sz w:val="21"/>
                <w:szCs w:val="21"/>
                <w:highlight w:val="none"/>
              </w:rPr>
            </w:pPr>
            <w:r>
              <w:rPr>
                <w:rFonts w:hint="eastAsia" w:hAnsi="宋体"/>
                <w:color w:val="auto"/>
                <w:sz w:val="21"/>
                <w:szCs w:val="21"/>
                <w:highlight w:val="none"/>
              </w:rPr>
              <w:t>应急演练</w:t>
            </w:r>
          </w:p>
        </w:tc>
        <w:tc>
          <w:tcPr>
            <w:tcW w:w="2339" w:type="dxa"/>
            <w:vMerge w:val="restart"/>
            <w:shd w:val="clear" w:color="auto" w:fill="FFFFFF" w:themeFill="background1"/>
            <w:vAlign w:val="center"/>
          </w:tcPr>
          <w:p w14:paraId="04CB127E">
            <w:pPr>
              <w:widowControl/>
              <w:rPr>
                <w:rFonts w:hAnsi="宋体"/>
                <w:color w:val="auto"/>
                <w:sz w:val="21"/>
                <w:szCs w:val="21"/>
                <w:highlight w:val="none"/>
              </w:rPr>
            </w:pPr>
            <w:r>
              <w:rPr>
                <w:rFonts w:hint="eastAsia" w:hAnsi="宋体"/>
                <w:color w:val="auto"/>
                <w:sz w:val="21"/>
                <w:szCs w:val="21"/>
                <w:highlight w:val="none"/>
              </w:rPr>
              <w:t>1.组织防台防汛、防冰雪、交通事故、道路阻断等应急演练（包括但不限于以上项目）；</w:t>
            </w:r>
          </w:p>
        </w:tc>
        <w:tc>
          <w:tcPr>
            <w:tcW w:w="921" w:type="dxa"/>
            <w:shd w:val="clear" w:color="auto" w:fill="FFFFFF" w:themeFill="background1"/>
            <w:vAlign w:val="center"/>
          </w:tcPr>
          <w:p w14:paraId="75699528">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4C84DCCF">
            <w:pPr>
              <w:widowControl/>
              <w:jc w:val="center"/>
              <w:rPr>
                <w:rFonts w:hAnsi="宋体"/>
                <w:color w:val="auto"/>
                <w:sz w:val="21"/>
                <w:szCs w:val="21"/>
                <w:highlight w:val="none"/>
              </w:rPr>
            </w:pPr>
            <w:r>
              <w:rPr>
                <w:rFonts w:hint="eastAsia" w:hAnsi="宋体"/>
                <w:color w:val="auto"/>
                <w:sz w:val="21"/>
                <w:szCs w:val="21"/>
                <w:highlight w:val="none"/>
              </w:rPr>
              <w:t>2027.02.01-2027.07.31</w:t>
            </w:r>
          </w:p>
        </w:tc>
        <w:tc>
          <w:tcPr>
            <w:tcW w:w="650" w:type="dxa"/>
            <w:vMerge w:val="restart"/>
            <w:shd w:val="clear" w:color="auto" w:fill="FFFFFF" w:themeFill="background1"/>
            <w:vAlign w:val="center"/>
          </w:tcPr>
          <w:p w14:paraId="486B2D4A">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1BBE605">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4BCDAB2">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689639C3">
            <w:pPr>
              <w:widowControl/>
              <w:jc w:val="center"/>
              <w:rPr>
                <w:rFonts w:hAnsi="宋体"/>
                <w:color w:val="auto"/>
                <w:sz w:val="21"/>
                <w:szCs w:val="21"/>
                <w:highlight w:val="none"/>
              </w:rPr>
            </w:pPr>
            <w:r>
              <w:rPr>
                <w:rFonts w:hint="eastAsia" w:hAnsi="宋体"/>
                <w:color w:val="auto"/>
                <w:sz w:val="21"/>
                <w:szCs w:val="21"/>
                <w:highlight w:val="none"/>
              </w:rPr>
              <w:t>合计每年组织不少于2次演练</w:t>
            </w:r>
          </w:p>
        </w:tc>
      </w:tr>
      <w:tr w14:paraId="10884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510AC72F">
            <w:pPr>
              <w:widowControl/>
              <w:rPr>
                <w:rFonts w:hAnsi="宋体"/>
                <w:color w:val="auto"/>
                <w:sz w:val="21"/>
                <w:szCs w:val="21"/>
                <w:highlight w:val="none"/>
              </w:rPr>
            </w:pPr>
          </w:p>
        </w:tc>
        <w:tc>
          <w:tcPr>
            <w:tcW w:w="1098" w:type="dxa"/>
            <w:vMerge w:val="continue"/>
            <w:shd w:val="clear" w:color="auto" w:fill="FFFFFF" w:themeFill="background1"/>
            <w:vAlign w:val="center"/>
          </w:tcPr>
          <w:p w14:paraId="3F82BB71">
            <w:pPr>
              <w:widowControl/>
              <w:rPr>
                <w:rFonts w:hAnsi="宋体"/>
                <w:color w:val="auto"/>
                <w:sz w:val="21"/>
                <w:szCs w:val="21"/>
                <w:highlight w:val="none"/>
              </w:rPr>
            </w:pPr>
          </w:p>
        </w:tc>
        <w:tc>
          <w:tcPr>
            <w:tcW w:w="2339" w:type="dxa"/>
            <w:vMerge w:val="continue"/>
            <w:shd w:val="clear" w:color="auto" w:fill="FFFFFF" w:themeFill="background1"/>
            <w:vAlign w:val="center"/>
          </w:tcPr>
          <w:p w14:paraId="6F0A57B3">
            <w:pPr>
              <w:widowControl/>
              <w:rPr>
                <w:rFonts w:hAnsi="宋体"/>
                <w:color w:val="auto"/>
                <w:sz w:val="21"/>
                <w:szCs w:val="21"/>
                <w:highlight w:val="none"/>
              </w:rPr>
            </w:pPr>
          </w:p>
        </w:tc>
        <w:tc>
          <w:tcPr>
            <w:tcW w:w="921" w:type="dxa"/>
            <w:shd w:val="clear" w:color="auto" w:fill="FFFFFF" w:themeFill="background1"/>
            <w:vAlign w:val="center"/>
          </w:tcPr>
          <w:p w14:paraId="250C414A">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B0895E6">
            <w:pPr>
              <w:widowControl/>
              <w:rPr>
                <w:rFonts w:hAnsi="宋体"/>
                <w:color w:val="auto"/>
                <w:sz w:val="21"/>
                <w:szCs w:val="21"/>
                <w:highlight w:val="none"/>
              </w:rPr>
            </w:pPr>
          </w:p>
        </w:tc>
        <w:tc>
          <w:tcPr>
            <w:tcW w:w="650" w:type="dxa"/>
            <w:vMerge w:val="continue"/>
            <w:shd w:val="clear" w:color="auto" w:fill="FFFFFF" w:themeFill="background1"/>
            <w:vAlign w:val="center"/>
          </w:tcPr>
          <w:p w14:paraId="0622A040">
            <w:pPr>
              <w:widowControl/>
              <w:rPr>
                <w:rFonts w:hAnsi="宋体"/>
                <w:color w:val="auto"/>
                <w:sz w:val="21"/>
                <w:szCs w:val="21"/>
                <w:highlight w:val="none"/>
              </w:rPr>
            </w:pPr>
          </w:p>
        </w:tc>
        <w:tc>
          <w:tcPr>
            <w:tcW w:w="709" w:type="dxa"/>
            <w:shd w:val="clear" w:color="auto" w:fill="FFFFFF" w:themeFill="background1"/>
            <w:vAlign w:val="center"/>
          </w:tcPr>
          <w:p w14:paraId="5710155D">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7D8FEF7A">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390D14FB">
            <w:pPr>
              <w:widowControl/>
              <w:rPr>
                <w:rFonts w:hAnsi="宋体"/>
                <w:color w:val="auto"/>
                <w:sz w:val="21"/>
                <w:szCs w:val="21"/>
                <w:highlight w:val="none"/>
              </w:rPr>
            </w:pPr>
          </w:p>
        </w:tc>
      </w:tr>
      <w:tr w14:paraId="5E35A7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57" w:hRule="atLeast"/>
          <w:jc w:val="center"/>
        </w:trPr>
        <w:tc>
          <w:tcPr>
            <w:tcW w:w="699" w:type="dxa"/>
            <w:vMerge w:val="continue"/>
            <w:shd w:val="clear" w:color="auto" w:fill="FFFFFF" w:themeFill="background1"/>
            <w:vAlign w:val="center"/>
          </w:tcPr>
          <w:p w14:paraId="5E3B8EC0">
            <w:pPr>
              <w:widowControl/>
              <w:rPr>
                <w:rFonts w:hAnsi="宋体"/>
                <w:color w:val="auto"/>
                <w:sz w:val="21"/>
                <w:szCs w:val="21"/>
                <w:highlight w:val="none"/>
              </w:rPr>
            </w:pPr>
          </w:p>
        </w:tc>
        <w:tc>
          <w:tcPr>
            <w:tcW w:w="1098" w:type="dxa"/>
            <w:vMerge w:val="restart"/>
            <w:shd w:val="clear" w:color="auto" w:fill="FFFFFF" w:themeFill="background1"/>
            <w:vAlign w:val="center"/>
          </w:tcPr>
          <w:p w14:paraId="65BF61AB">
            <w:pPr>
              <w:widowControl/>
              <w:jc w:val="center"/>
              <w:rPr>
                <w:rFonts w:hAnsi="宋体"/>
                <w:color w:val="auto"/>
                <w:sz w:val="21"/>
                <w:szCs w:val="21"/>
                <w:highlight w:val="none"/>
              </w:rPr>
            </w:pPr>
            <w:r>
              <w:rPr>
                <w:rFonts w:hint="eastAsia" w:hAnsi="宋体"/>
                <w:color w:val="auto"/>
                <w:sz w:val="21"/>
                <w:szCs w:val="21"/>
                <w:highlight w:val="none"/>
              </w:rPr>
              <w:t>防风、防汛、除冰雪</w:t>
            </w:r>
          </w:p>
        </w:tc>
        <w:tc>
          <w:tcPr>
            <w:tcW w:w="2339" w:type="dxa"/>
            <w:vMerge w:val="restart"/>
            <w:shd w:val="clear" w:color="auto" w:fill="FFFFFF" w:themeFill="background1"/>
            <w:vAlign w:val="center"/>
          </w:tcPr>
          <w:p w14:paraId="5B18ED46">
            <w:pPr>
              <w:widowControl/>
              <w:rPr>
                <w:rFonts w:hAnsi="宋体"/>
                <w:color w:val="auto"/>
                <w:sz w:val="21"/>
                <w:szCs w:val="21"/>
                <w:highlight w:val="none"/>
              </w:rPr>
            </w:pPr>
            <w:r>
              <w:rPr>
                <w:rFonts w:hint="eastAsia" w:hAnsi="宋体"/>
                <w:color w:val="auto"/>
                <w:sz w:val="21"/>
                <w:szCs w:val="21"/>
                <w:highlight w:val="none"/>
              </w:rPr>
              <w:t>1.砍伐、裁枝危险行道树；2.汛期强排路面积水；3.清扫、铲运、定点堆放积冰积雪；4.撒融雪剂；5.接令后第一时间处置出现的灾害，确保交通通畅；6.融雪剂、融雪液采购人供应。</w:t>
            </w:r>
          </w:p>
        </w:tc>
        <w:tc>
          <w:tcPr>
            <w:tcW w:w="921" w:type="dxa"/>
            <w:shd w:val="clear" w:color="auto" w:fill="FFFFFF" w:themeFill="background1"/>
            <w:vAlign w:val="center"/>
          </w:tcPr>
          <w:p w14:paraId="642BD234">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0EB46044">
            <w:pPr>
              <w:widowControl/>
              <w:rPr>
                <w:rFonts w:hAnsi="宋体"/>
                <w:color w:val="auto"/>
                <w:sz w:val="21"/>
                <w:szCs w:val="21"/>
                <w:highlight w:val="none"/>
              </w:rPr>
            </w:pPr>
          </w:p>
        </w:tc>
        <w:tc>
          <w:tcPr>
            <w:tcW w:w="650" w:type="dxa"/>
            <w:vMerge w:val="restart"/>
            <w:shd w:val="clear" w:color="auto" w:fill="FFFFFF" w:themeFill="background1"/>
            <w:vAlign w:val="center"/>
          </w:tcPr>
          <w:p w14:paraId="14E27D96">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6C608B1">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E0A8897">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68D4DE8B">
            <w:pPr>
              <w:widowControl/>
              <w:jc w:val="center"/>
              <w:rPr>
                <w:rFonts w:hAnsi="宋体"/>
                <w:color w:val="auto"/>
                <w:sz w:val="21"/>
                <w:szCs w:val="21"/>
                <w:highlight w:val="none"/>
              </w:rPr>
            </w:pPr>
            <w:r>
              <w:rPr>
                <w:rFonts w:hint="eastAsia" w:hAnsi="宋体"/>
                <w:color w:val="auto"/>
                <w:sz w:val="21"/>
                <w:szCs w:val="21"/>
                <w:highlight w:val="none"/>
              </w:rPr>
              <w:t>至少配备草包1000个、砂石3T、木桩50个等应急物资。</w:t>
            </w:r>
          </w:p>
        </w:tc>
      </w:tr>
      <w:tr w14:paraId="0F29B3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6D779EBA">
            <w:pPr>
              <w:widowControl/>
              <w:rPr>
                <w:rFonts w:hAnsi="宋体"/>
                <w:color w:val="auto"/>
                <w:sz w:val="21"/>
                <w:szCs w:val="21"/>
                <w:highlight w:val="none"/>
              </w:rPr>
            </w:pPr>
          </w:p>
        </w:tc>
        <w:tc>
          <w:tcPr>
            <w:tcW w:w="1098" w:type="dxa"/>
            <w:vMerge w:val="continue"/>
            <w:shd w:val="clear" w:color="auto" w:fill="FFFFFF" w:themeFill="background1"/>
            <w:vAlign w:val="center"/>
          </w:tcPr>
          <w:p w14:paraId="35C54010">
            <w:pPr>
              <w:widowControl/>
              <w:rPr>
                <w:rFonts w:hAnsi="宋体"/>
                <w:color w:val="auto"/>
                <w:sz w:val="21"/>
                <w:szCs w:val="21"/>
                <w:highlight w:val="none"/>
              </w:rPr>
            </w:pPr>
          </w:p>
        </w:tc>
        <w:tc>
          <w:tcPr>
            <w:tcW w:w="2339" w:type="dxa"/>
            <w:vMerge w:val="continue"/>
            <w:shd w:val="clear" w:color="auto" w:fill="FFFFFF" w:themeFill="background1"/>
            <w:vAlign w:val="center"/>
          </w:tcPr>
          <w:p w14:paraId="740C0A7D">
            <w:pPr>
              <w:widowControl/>
              <w:rPr>
                <w:rFonts w:hAnsi="宋体"/>
                <w:color w:val="auto"/>
                <w:sz w:val="21"/>
                <w:szCs w:val="21"/>
                <w:highlight w:val="none"/>
              </w:rPr>
            </w:pPr>
          </w:p>
        </w:tc>
        <w:tc>
          <w:tcPr>
            <w:tcW w:w="921" w:type="dxa"/>
            <w:shd w:val="clear" w:color="auto" w:fill="FFFFFF" w:themeFill="background1"/>
            <w:vAlign w:val="center"/>
          </w:tcPr>
          <w:p w14:paraId="3C7EA7D0">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6D154D13">
            <w:pPr>
              <w:widowControl/>
              <w:rPr>
                <w:rFonts w:hAnsi="宋体"/>
                <w:color w:val="auto"/>
                <w:sz w:val="21"/>
                <w:szCs w:val="21"/>
                <w:highlight w:val="none"/>
              </w:rPr>
            </w:pPr>
          </w:p>
        </w:tc>
        <w:tc>
          <w:tcPr>
            <w:tcW w:w="650" w:type="dxa"/>
            <w:vMerge w:val="continue"/>
            <w:shd w:val="clear" w:color="auto" w:fill="FFFFFF" w:themeFill="background1"/>
            <w:vAlign w:val="center"/>
          </w:tcPr>
          <w:p w14:paraId="1E3F34F4">
            <w:pPr>
              <w:widowControl/>
              <w:rPr>
                <w:rFonts w:hAnsi="宋体"/>
                <w:color w:val="auto"/>
                <w:sz w:val="21"/>
                <w:szCs w:val="21"/>
                <w:highlight w:val="none"/>
              </w:rPr>
            </w:pPr>
          </w:p>
        </w:tc>
        <w:tc>
          <w:tcPr>
            <w:tcW w:w="709" w:type="dxa"/>
            <w:shd w:val="clear" w:color="auto" w:fill="FFFFFF" w:themeFill="background1"/>
            <w:vAlign w:val="center"/>
          </w:tcPr>
          <w:p w14:paraId="606A14F7">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0A61F98F">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4DC165F5">
            <w:pPr>
              <w:widowControl/>
              <w:rPr>
                <w:rFonts w:hAnsi="宋体"/>
                <w:color w:val="auto"/>
                <w:sz w:val="21"/>
                <w:szCs w:val="21"/>
                <w:highlight w:val="none"/>
              </w:rPr>
            </w:pPr>
          </w:p>
        </w:tc>
      </w:tr>
      <w:tr w14:paraId="06E7B4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hemeFill="background1"/>
          <w:tblCellMar>
            <w:top w:w="0" w:type="dxa"/>
            <w:left w:w="108" w:type="dxa"/>
            <w:bottom w:w="0" w:type="dxa"/>
            <w:right w:w="108" w:type="dxa"/>
          </w:tblCellMar>
        </w:tblPrEx>
        <w:trPr>
          <w:trHeight w:val="1200" w:hRule="atLeast"/>
          <w:jc w:val="center"/>
        </w:trPr>
        <w:tc>
          <w:tcPr>
            <w:tcW w:w="699" w:type="dxa"/>
            <w:vMerge w:val="continue"/>
            <w:shd w:val="clear" w:color="auto" w:fill="FFFFFF" w:themeFill="background1"/>
            <w:vAlign w:val="center"/>
          </w:tcPr>
          <w:p w14:paraId="1A8D671F">
            <w:pPr>
              <w:widowControl/>
              <w:rPr>
                <w:rFonts w:hAnsi="宋体"/>
                <w:color w:val="auto"/>
                <w:sz w:val="21"/>
                <w:szCs w:val="21"/>
                <w:highlight w:val="none"/>
              </w:rPr>
            </w:pPr>
          </w:p>
        </w:tc>
        <w:tc>
          <w:tcPr>
            <w:tcW w:w="1098" w:type="dxa"/>
            <w:vMerge w:val="restart"/>
            <w:shd w:val="clear" w:color="auto" w:fill="FFFFFF" w:themeFill="background1"/>
            <w:vAlign w:val="center"/>
          </w:tcPr>
          <w:p w14:paraId="0C187BBE">
            <w:pPr>
              <w:widowControl/>
              <w:jc w:val="center"/>
              <w:rPr>
                <w:rFonts w:hAnsi="宋体"/>
                <w:color w:val="auto"/>
                <w:sz w:val="21"/>
                <w:szCs w:val="21"/>
                <w:highlight w:val="none"/>
              </w:rPr>
            </w:pPr>
            <w:r>
              <w:rPr>
                <w:rFonts w:hint="eastAsia" w:hAnsi="宋体"/>
                <w:color w:val="auto"/>
                <w:sz w:val="21"/>
                <w:szCs w:val="21"/>
                <w:highlight w:val="none"/>
              </w:rPr>
              <w:t>应急值班</w:t>
            </w:r>
          </w:p>
        </w:tc>
        <w:tc>
          <w:tcPr>
            <w:tcW w:w="2339" w:type="dxa"/>
            <w:vMerge w:val="restart"/>
            <w:shd w:val="clear" w:color="auto" w:fill="FFFFFF" w:themeFill="background1"/>
            <w:vAlign w:val="center"/>
          </w:tcPr>
          <w:p w14:paraId="6197D01A">
            <w:pPr>
              <w:widowControl/>
              <w:rPr>
                <w:rFonts w:hAnsi="宋体"/>
                <w:color w:val="auto"/>
                <w:sz w:val="21"/>
                <w:szCs w:val="21"/>
                <w:highlight w:val="none"/>
              </w:rPr>
            </w:pPr>
            <w:r>
              <w:rPr>
                <w:rFonts w:hint="eastAsia" w:hAnsi="宋体"/>
                <w:color w:val="auto"/>
                <w:sz w:val="21"/>
                <w:szCs w:val="21"/>
                <w:highlight w:val="none"/>
              </w:rPr>
              <w:t>1.夜间值班2人/天，值班人员接到任务通知后开展应急处置。</w:t>
            </w:r>
          </w:p>
          <w:p w14:paraId="79D3124C">
            <w:pPr>
              <w:widowControl/>
              <w:rPr>
                <w:rFonts w:hAnsi="宋体"/>
                <w:color w:val="auto"/>
                <w:sz w:val="21"/>
                <w:szCs w:val="21"/>
                <w:highlight w:val="none"/>
              </w:rPr>
            </w:pPr>
            <w:r>
              <w:rPr>
                <w:rFonts w:hint="eastAsia" w:hAnsi="宋体"/>
                <w:color w:val="auto"/>
                <w:sz w:val="21"/>
                <w:szCs w:val="21"/>
                <w:highlight w:val="none"/>
              </w:rPr>
              <w:t>2.应对强降雨、大风、冰雪天气、交通事故等应急突发事件，加强值班值守，增加值班人员。3.</w:t>
            </w:r>
            <w:r>
              <w:rPr>
                <w:rFonts w:hAnsi="宋体"/>
                <w:color w:val="auto"/>
                <w:sz w:val="21"/>
                <w:szCs w:val="21"/>
                <w:highlight w:val="none"/>
              </w:rPr>
              <w:t>公路养护应急基地</w:t>
            </w:r>
            <w:r>
              <w:rPr>
                <w:rFonts w:hint="eastAsia" w:hAnsi="宋体"/>
                <w:color w:val="auto"/>
                <w:sz w:val="21"/>
                <w:szCs w:val="21"/>
                <w:highlight w:val="none"/>
              </w:rPr>
              <w:t>运维服务，保证基地正常运行。</w:t>
            </w:r>
          </w:p>
        </w:tc>
        <w:tc>
          <w:tcPr>
            <w:tcW w:w="921" w:type="dxa"/>
            <w:shd w:val="clear" w:color="auto" w:fill="FFFFFF" w:themeFill="background1"/>
            <w:vAlign w:val="center"/>
          </w:tcPr>
          <w:p w14:paraId="470BD04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continue"/>
            <w:shd w:val="clear" w:color="auto" w:fill="FFFFFF" w:themeFill="background1"/>
            <w:vAlign w:val="center"/>
          </w:tcPr>
          <w:p w14:paraId="6BAE899C">
            <w:pPr>
              <w:widowControl/>
              <w:rPr>
                <w:rFonts w:hAnsi="宋体"/>
                <w:color w:val="auto"/>
                <w:sz w:val="21"/>
                <w:szCs w:val="21"/>
                <w:highlight w:val="none"/>
              </w:rPr>
            </w:pPr>
          </w:p>
        </w:tc>
        <w:tc>
          <w:tcPr>
            <w:tcW w:w="650" w:type="dxa"/>
            <w:vMerge w:val="restart"/>
            <w:shd w:val="clear" w:color="auto" w:fill="FFFFFF" w:themeFill="background1"/>
            <w:vAlign w:val="center"/>
          </w:tcPr>
          <w:p w14:paraId="5E121B62">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0F722B82">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D5ED021">
            <w:pPr>
              <w:widowControl/>
              <w:jc w:val="center"/>
              <w:rPr>
                <w:rFonts w:hint="eastAsia" w:hAnsi="宋体"/>
                <w:color w:val="auto"/>
                <w:sz w:val="21"/>
                <w:szCs w:val="21"/>
                <w:highlight w:val="none"/>
              </w:rPr>
            </w:pPr>
          </w:p>
        </w:tc>
        <w:tc>
          <w:tcPr>
            <w:tcW w:w="1741" w:type="dxa"/>
            <w:vMerge w:val="restart"/>
            <w:shd w:val="clear" w:color="auto" w:fill="FFFFFF" w:themeFill="background1"/>
            <w:vAlign w:val="center"/>
          </w:tcPr>
          <w:p w14:paraId="1410DACF">
            <w:pPr>
              <w:widowControl/>
              <w:jc w:val="center"/>
              <w:rPr>
                <w:rFonts w:hAnsi="宋体"/>
                <w:color w:val="auto"/>
                <w:sz w:val="21"/>
                <w:szCs w:val="21"/>
                <w:highlight w:val="none"/>
              </w:rPr>
            </w:pPr>
            <w:r>
              <w:rPr>
                <w:rFonts w:hint="eastAsia" w:hAnsi="宋体"/>
                <w:color w:val="auto"/>
                <w:sz w:val="21"/>
                <w:szCs w:val="21"/>
                <w:highlight w:val="none"/>
              </w:rPr>
              <w:t>服务期内夜间值班提供合计不少于402工日</w:t>
            </w:r>
          </w:p>
        </w:tc>
      </w:tr>
      <w:tr w14:paraId="0440B5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31917E49">
            <w:pPr>
              <w:widowControl/>
              <w:rPr>
                <w:rFonts w:hAnsi="宋体"/>
                <w:color w:val="auto"/>
                <w:sz w:val="21"/>
                <w:szCs w:val="21"/>
                <w:highlight w:val="none"/>
              </w:rPr>
            </w:pPr>
          </w:p>
        </w:tc>
        <w:tc>
          <w:tcPr>
            <w:tcW w:w="1098" w:type="dxa"/>
            <w:vMerge w:val="continue"/>
            <w:shd w:val="clear" w:color="auto" w:fill="FFFFFF" w:themeFill="background1"/>
            <w:vAlign w:val="center"/>
          </w:tcPr>
          <w:p w14:paraId="50EF451A">
            <w:pPr>
              <w:widowControl/>
              <w:rPr>
                <w:rFonts w:hAnsi="宋体"/>
                <w:color w:val="auto"/>
                <w:sz w:val="21"/>
                <w:szCs w:val="21"/>
                <w:highlight w:val="none"/>
              </w:rPr>
            </w:pPr>
          </w:p>
        </w:tc>
        <w:tc>
          <w:tcPr>
            <w:tcW w:w="2339" w:type="dxa"/>
            <w:vMerge w:val="continue"/>
            <w:shd w:val="clear" w:color="auto" w:fill="FFFFFF" w:themeFill="background1"/>
            <w:vAlign w:val="center"/>
          </w:tcPr>
          <w:p w14:paraId="78F3A6A6">
            <w:pPr>
              <w:widowControl/>
              <w:rPr>
                <w:rFonts w:hAnsi="宋体"/>
                <w:color w:val="auto"/>
                <w:sz w:val="21"/>
                <w:szCs w:val="21"/>
                <w:highlight w:val="none"/>
              </w:rPr>
            </w:pPr>
          </w:p>
        </w:tc>
        <w:tc>
          <w:tcPr>
            <w:tcW w:w="921" w:type="dxa"/>
            <w:shd w:val="clear" w:color="auto" w:fill="FFFFFF" w:themeFill="background1"/>
            <w:vAlign w:val="center"/>
          </w:tcPr>
          <w:p w14:paraId="3482C9E4">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1A60715">
            <w:pPr>
              <w:widowControl/>
              <w:rPr>
                <w:rFonts w:hAnsi="宋体"/>
                <w:color w:val="auto"/>
                <w:sz w:val="21"/>
                <w:szCs w:val="21"/>
                <w:highlight w:val="none"/>
              </w:rPr>
            </w:pPr>
          </w:p>
        </w:tc>
        <w:tc>
          <w:tcPr>
            <w:tcW w:w="650" w:type="dxa"/>
            <w:vMerge w:val="continue"/>
            <w:shd w:val="clear" w:color="auto" w:fill="FFFFFF" w:themeFill="background1"/>
            <w:vAlign w:val="center"/>
          </w:tcPr>
          <w:p w14:paraId="2DE19353">
            <w:pPr>
              <w:widowControl/>
              <w:rPr>
                <w:rFonts w:hAnsi="宋体"/>
                <w:color w:val="auto"/>
                <w:sz w:val="21"/>
                <w:szCs w:val="21"/>
                <w:highlight w:val="none"/>
              </w:rPr>
            </w:pPr>
          </w:p>
        </w:tc>
        <w:tc>
          <w:tcPr>
            <w:tcW w:w="709" w:type="dxa"/>
            <w:shd w:val="clear" w:color="auto" w:fill="FFFFFF" w:themeFill="background1"/>
            <w:vAlign w:val="center"/>
          </w:tcPr>
          <w:p w14:paraId="4591836C">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24D4C7D0">
            <w:pPr>
              <w:widowControl/>
              <w:jc w:val="center"/>
              <w:rPr>
                <w:rFonts w:hint="eastAsia" w:hAnsi="宋体"/>
                <w:color w:val="auto"/>
                <w:sz w:val="21"/>
                <w:szCs w:val="21"/>
                <w:highlight w:val="none"/>
              </w:rPr>
            </w:pPr>
          </w:p>
        </w:tc>
        <w:tc>
          <w:tcPr>
            <w:tcW w:w="1741" w:type="dxa"/>
            <w:vMerge w:val="continue"/>
            <w:shd w:val="clear" w:color="auto" w:fill="FFFFFF" w:themeFill="background1"/>
            <w:vAlign w:val="center"/>
          </w:tcPr>
          <w:p w14:paraId="30104BF7">
            <w:pPr>
              <w:widowControl/>
              <w:rPr>
                <w:rFonts w:hAnsi="宋体"/>
                <w:color w:val="auto"/>
                <w:sz w:val="21"/>
                <w:szCs w:val="21"/>
                <w:highlight w:val="none"/>
              </w:rPr>
            </w:pPr>
          </w:p>
        </w:tc>
      </w:tr>
      <w:tr w14:paraId="5F4871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restart"/>
            <w:shd w:val="clear" w:color="auto" w:fill="FFFFFF" w:themeFill="background1"/>
            <w:noWrap/>
            <w:vAlign w:val="center"/>
          </w:tcPr>
          <w:p w14:paraId="53B229E1">
            <w:pPr>
              <w:widowControl/>
              <w:jc w:val="center"/>
              <w:rPr>
                <w:rFonts w:hAnsi="宋体"/>
                <w:color w:val="auto"/>
                <w:sz w:val="21"/>
                <w:szCs w:val="21"/>
                <w:highlight w:val="none"/>
              </w:rPr>
            </w:pPr>
            <w:r>
              <w:rPr>
                <w:rFonts w:hint="eastAsia" w:hAnsi="宋体"/>
                <w:color w:val="auto"/>
                <w:sz w:val="21"/>
                <w:szCs w:val="21"/>
                <w:highlight w:val="none"/>
              </w:rPr>
              <w:t>保险</w:t>
            </w:r>
          </w:p>
        </w:tc>
        <w:tc>
          <w:tcPr>
            <w:tcW w:w="1098" w:type="dxa"/>
            <w:vMerge w:val="restart"/>
            <w:shd w:val="clear" w:color="auto" w:fill="FFFFFF" w:themeFill="background1"/>
            <w:vAlign w:val="center"/>
          </w:tcPr>
          <w:p w14:paraId="63CA0C06">
            <w:pPr>
              <w:widowControl/>
              <w:jc w:val="center"/>
              <w:rPr>
                <w:rFonts w:hAnsi="宋体"/>
                <w:color w:val="auto"/>
                <w:sz w:val="21"/>
                <w:szCs w:val="21"/>
                <w:highlight w:val="none"/>
              </w:rPr>
            </w:pPr>
            <w:r>
              <w:rPr>
                <w:rFonts w:hint="eastAsia" w:hAnsi="宋体"/>
                <w:color w:val="auto"/>
                <w:sz w:val="21"/>
                <w:szCs w:val="21"/>
                <w:highlight w:val="none"/>
              </w:rPr>
              <w:t>公众责任险</w:t>
            </w:r>
          </w:p>
        </w:tc>
        <w:tc>
          <w:tcPr>
            <w:tcW w:w="2339" w:type="dxa"/>
            <w:vMerge w:val="restart"/>
            <w:shd w:val="clear" w:color="auto" w:fill="FFFFFF" w:themeFill="background1"/>
            <w:vAlign w:val="center"/>
          </w:tcPr>
          <w:p w14:paraId="4BDC5C03">
            <w:pPr>
              <w:widowControl/>
              <w:rPr>
                <w:rFonts w:hAnsi="宋体"/>
                <w:color w:val="auto"/>
                <w:sz w:val="21"/>
                <w:szCs w:val="21"/>
                <w:highlight w:val="none"/>
              </w:rPr>
            </w:pPr>
            <w:r>
              <w:rPr>
                <w:rFonts w:hint="eastAsia" w:hAnsi="宋体"/>
                <w:color w:val="auto"/>
                <w:sz w:val="21"/>
                <w:szCs w:val="21"/>
                <w:highlight w:val="none"/>
              </w:rPr>
              <w:t>保险内容：因管养的公路及附属设施缺陷导致第三者人身伤亡或财产损失而依法应承担赔偿责任。</w:t>
            </w:r>
          </w:p>
        </w:tc>
        <w:tc>
          <w:tcPr>
            <w:tcW w:w="921" w:type="dxa"/>
            <w:shd w:val="clear" w:color="auto" w:fill="FFFFFF" w:themeFill="background1"/>
            <w:vAlign w:val="center"/>
          </w:tcPr>
          <w:p w14:paraId="7ABD75AD">
            <w:pPr>
              <w:widowControl/>
              <w:jc w:val="center"/>
              <w:rPr>
                <w:rFonts w:hAnsi="宋体"/>
                <w:color w:val="auto"/>
                <w:sz w:val="21"/>
                <w:szCs w:val="21"/>
                <w:highlight w:val="none"/>
              </w:rPr>
            </w:pPr>
            <w:r>
              <w:rPr>
                <w:rFonts w:hint="eastAsia" w:hAnsi="宋体"/>
                <w:color w:val="auto"/>
                <w:sz w:val="21"/>
                <w:szCs w:val="21"/>
                <w:highlight w:val="none"/>
              </w:rPr>
              <w:t>国省道</w:t>
            </w:r>
          </w:p>
        </w:tc>
        <w:tc>
          <w:tcPr>
            <w:tcW w:w="1371" w:type="dxa"/>
            <w:vMerge w:val="restart"/>
            <w:shd w:val="clear" w:color="auto" w:fill="FFFFFF" w:themeFill="background1"/>
            <w:vAlign w:val="center"/>
          </w:tcPr>
          <w:p w14:paraId="16E92109">
            <w:pPr>
              <w:widowControl/>
              <w:jc w:val="center"/>
              <w:rPr>
                <w:rFonts w:hAnsi="宋体"/>
                <w:color w:val="auto"/>
                <w:sz w:val="21"/>
                <w:szCs w:val="21"/>
                <w:highlight w:val="none"/>
              </w:rPr>
            </w:pPr>
            <w:r>
              <w:rPr>
                <w:rFonts w:hint="eastAsia" w:hAnsi="宋体"/>
                <w:color w:val="auto"/>
                <w:sz w:val="21"/>
                <w:szCs w:val="21"/>
                <w:highlight w:val="none"/>
              </w:rPr>
              <w:t>2026.08.01-2027.07.31</w:t>
            </w:r>
          </w:p>
        </w:tc>
        <w:tc>
          <w:tcPr>
            <w:tcW w:w="650" w:type="dxa"/>
            <w:vMerge w:val="restart"/>
            <w:shd w:val="clear" w:color="auto" w:fill="FFFFFF" w:themeFill="background1"/>
            <w:vAlign w:val="center"/>
          </w:tcPr>
          <w:p w14:paraId="004B0F35">
            <w:pPr>
              <w:widowControl/>
              <w:jc w:val="center"/>
              <w:rPr>
                <w:rFonts w:hAnsi="宋体"/>
                <w:color w:val="auto"/>
                <w:sz w:val="21"/>
                <w:szCs w:val="21"/>
                <w:highlight w:val="none"/>
              </w:rPr>
            </w:pPr>
            <w:r>
              <w:rPr>
                <w:rFonts w:hint="eastAsia" w:hAnsi="宋体"/>
                <w:color w:val="auto"/>
                <w:sz w:val="21"/>
                <w:szCs w:val="21"/>
                <w:highlight w:val="none"/>
              </w:rPr>
              <w:t>项</w:t>
            </w:r>
          </w:p>
        </w:tc>
        <w:tc>
          <w:tcPr>
            <w:tcW w:w="709" w:type="dxa"/>
            <w:shd w:val="clear" w:color="auto" w:fill="FFFFFF" w:themeFill="background1"/>
            <w:vAlign w:val="center"/>
          </w:tcPr>
          <w:p w14:paraId="1639FEFD">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49F52F2B">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583C807E">
            <w:pPr>
              <w:widowControl/>
              <w:jc w:val="center"/>
              <w:rPr>
                <w:rFonts w:hAnsi="宋体"/>
                <w:color w:val="auto"/>
                <w:sz w:val="21"/>
                <w:szCs w:val="21"/>
                <w:highlight w:val="none"/>
              </w:rPr>
            </w:pPr>
            <w:r>
              <w:rPr>
                <w:rFonts w:hint="eastAsia" w:hAnsi="宋体"/>
                <w:color w:val="auto"/>
                <w:sz w:val="21"/>
                <w:szCs w:val="21"/>
                <w:highlight w:val="none"/>
              </w:rPr>
              <w:t>年累计赔偿限额不低于300万</w:t>
            </w:r>
          </w:p>
        </w:tc>
      </w:tr>
      <w:tr w14:paraId="035B61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jc w:val="center"/>
        </w:trPr>
        <w:tc>
          <w:tcPr>
            <w:tcW w:w="699" w:type="dxa"/>
            <w:vMerge w:val="continue"/>
            <w:shd w:val="clear" w:color="auto" w:fill="FFFFFF" w:themeFill="background1"/>
            <w:vAlign w:val="center"/>
          </w:tcPr>
          <w:p w14:paraId="05540D6D">
            <w:pPr>
              <w:widowControl/>
              <w:rPr>
                <w:rFonts w:hAnsi="宋体"/>
                <w:color w:val="auto"/>
                <w:sz w:val="21"/>
                <w:szCs w:val="21"/>
                <w:highlight w:val="none"/>
              </w:rPr>
            </w:pPr>
          </w:p>
        </w:tc>
        <w:tc>
          <w:tcPr>
            <w:tcW w:w="1098" w:type="dxa"/>
            <w:vMerge w:val="continue"/>
            <w:shd w:val="clear" w:color="auto" w:fill="FFFFFF" w:themeFill="background1"/>
            <w:vAlign w:val="center"/>
          </w:tcPr>
          <w:p w14:paraId="75DA600E">
            <w:pPr>
              <w:widowControl/>
              <w:rPr>
                <w:rFonts w:hAnsi="宋体"/>
                <w:color w:val="auto"/>
                <w:sz w:val="21"/>
                <w:szCs w:val="21"/>
                <w:highlight w:val="none"/>
              </w:rPr>
            </w:pPr>
          </w:p>
        </w:tc>
        <w:tc>
          <w:tcPr>
            <w:tcW w:w="2339" w:type="dxa"/>
            <w:vMerge w:val="continue"/>
            <w:shd w:val="clear" w:color="auto" w:fill="FFFFFF" w:themeFill="background1"/>
            <w:vAlign w:val="center"/>
          </w:tcPr>
          <w:p w14:paraId="6C7A8390">
            <w:pPr>
              <w:widowControl/>
              <w:rPr>
                <w:rFonts w:hAnsi="宋体"/>
                <w:color w:val="auto"/>
                <w:sz w:val="21"/>
                <w:szCs w:val="21"/>
                <w:highlight w:val="none"/>
              </w:rPr>
            </w:pPr>
          </w:p>
        </w:tc>
        <w:tc>
          <w:tcPr>
            <w:tcW w:w="921" w:type="dxa"/>
            <w:shd w:val="clear" w:color="auto" w:fill="FFFFFF" w:themeFill="background1"/>
            <w:vAlign w:val="center"/>
          </w:tcPr>
          <w:p w14:paraId="37381EB1">
            <w:pPr>
              <w:widowControl/>
              <w:jc w:val="center"/>
              <w:rPr>
                <w:rFonts w:hAnsi="宋体"/>
                <w:color w:val="auto"/>
                <w:sz w:val="21"/>
                <w:szCs w:val="21"/>
                <w:highlight w:val="none"/>
              </w:rPr>
            </w:pPr>
            <w:r>
              <w:rPr>
                <w:rFonts w:hint="eastAsia" w:hAnsi="宋体"/>
                <w:color w:val="auto"/>
                <w:sz w:val="21"/>
                <w:szCs w:val="21"/>
                <w:highlight w:val="none"/>
              </w:rPr>
              <w:t>县道</w:t>
            </w:r>
          </w:p>
        </w:tc>
        <w:tc>
          <w:tcPr>
            <w:tcW w:w="1371" w:type="dxa"/>
            <w:vMerge w:val="continue"/>
            <w:shd w:val="clear" w:color="auto" w:fill="FFFFFF" w:themeFill="background1"/>
            <w:vAlign w:val="center"/>
          </w:tcPr>
          <w:p w14:paraId="01601D68">
            <w:pPr>
              <w:widowControl/>
              <w:rPr>
                <w:rFonts w:hAnsi="宋体"/>
                <w:color w:val="auto"/>
                <w:sz w:val="21"/>
                <w:szCs w:val="21"/>
                <w:highlight w:val="none"/>
              </w:rPr>
            </w:pPr>
          </w:p>
        </w:tc>
        <w:tc>
          <w:tcPr>
            <w:tcW w:w="650" w:type="dxa"/>
            <w:vMerge w:val="continue"/>
            <w:shd w:val="clear" w:color="auto" w:fill="FFFFFF" w:themeFill="background1"/>
            <w:vAlign w:val="center"/>
          </w:tcPr>
          <w:p w14:paraId="252E095A">
            <w:pPr>
              <w:widowControl/>
              <w:rPr>
                <w:rFonts w:hAnsi="宋体"/>
                <w:color w:val="auto"/>
                <w:sz w:val="21"/>
                <w:szCs w:val="21"/>
                <w:highlight w:val="none"/>
              </w:rPr>
            </w:pPr>
          </w:p>
        </w:tc>
        <w:tc>
          <w:tcPr>
            <w:tcW w:w="709" w:type="dxa"/>
            <w:shd w:val="clear" w:color="auto" w:fill="FFFFFF" w:themeFill="background1"/>
            <w:vAlign w:val="center"/>
          </w:tcPr>
          <w:p w14:paraId="6FC5E882">
            <w:pPr>
              <w:widowControl/>
              <w:jc w:val="center"/>
              <w:rPr>
                <w:rFonts w:hAnsi="宋体"/>
                <w:color w:val="auto"/>
                <w:sz w:val="21"/>
                <w:szCs w:val="21"/>
                <w:highlight w:val="none"/>
              </w:rPr>
            </w:pPr>
            <w:r>
              <w:rPr>
                <w:rFonts w:hint="eastAsia" w:hAnsi="宋体"/>
                <w:color w:val="auto"/>
                <w:sz w:val="21"/>
                <w:szCs w:val="21"/>
                <w:highlight w:val="none"/>
              </w:rPr>
              <w:t>1</w:t>
            </w:r>
          </w:p>
        </w:tc>
        <w:tc>
          <w:tcPr>
            <w:tcW w:w="1194" w:type="dxa"/>
            <w:shd w:val="clear" w:color="auto" w:fill="FFFFFF" w:themeFill="background1"/>
            <w:vAlign w:val="center"/>
          </w:tcPr>
          <w:p w14:paraId="12C53326">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1EEBAAF4">
            <w:pPr>
              <w:widowControl/>
              <w:jc w:val="center"/>
              <w:rPr>
                <w:rFonts w:hAnsi="宋体"/>
                <w:color w:val="auto"/>
                <w:sz w:val="21"/>
                <w:szCs w:val="21"/>
                <w:highlight w:val="none"/>
              </w:rPr>
            </w:pPr>
            <w:r>
              <w:rPr>
                <w:rFonts w:hint="eastAsia" w:hAnsi="宋体"/>
                <w:color w:val="auto"/>
                <w:sz w:val="21"/>
                <w:szCs w:val="21"/>
                <w:highlight w:val="none"/>
              </w:rPr>
              <w:t>年累计赔偿限额不低于300万</w:t>
            </w:r>
          </w:p>
        </w:tc>
      </w:tr>
      <w:tr w14:paraId="12241F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2" w:hRule="atLeast"/>
          <w:jc w:val="center"/>
        </w:trPr>
        <w:tc>
          <w:tcPr>
            <w:tcW w:w="7787" w:type="dxa"/>
            <w:gridSpan w:val="7"/>
            <w:shd w:val="clear" w:color="auto" w:fill="FFFFFF" w:themeFill="background1"/>
            <w:vAlign w:val="center"/>
          </w:tcPr>
          <w:p w14:paraId="662F6ED4">
            <w:pPr>
              <w:widowControl/>
              <w:jc w:val="center"/>
              <w:rPr>
                <w:rFonts w:hint="eastAsia" w:hAnsi="宋体"/>
                <w:color w:val="auto"/>
                <w:sz w:val="21"/>
                <w:szCs w:val="21"/>
                <w:highlight w:val="none"/>
              </w:rPr>
            </w:pPr>
            <w:r>
              <w:rPr>
                <w:rFonts w:hint="eastAsia" w:hAnsi="宋体"/>
                <w:color w:val="auto"/>
                <w:sz w:val="21"/>
                <w:szCs w:val="21"/>
                <w:highlight w:val="none"/>
                <w:lang w:val="en-US" w:eastAsia="zh-CN"/>
              </w:rPr>
              <w:t>合计</w:t>
            </w:r>
          </w:p>
        </w:tc>
        <w:tc>
          <w:tcPr>
            <w:tcW w:w="1194" w:type="dxa"/>
            <w:shd w:val="clear" w:color="auto" w:fill="FFFFFF" w:themeFill="background1"/>
            <w:vAlign w:val="center"/>
          </w:tcPr>
          <w:p w14:paraId="4A9EE535">
            <w:pPr>
              <w:widowControl/>
              <w:jc w:val="center"/>
              <w:rPr>
                <w:rFonts w:hint="eastAsia" w:hAnsi="宋体"/>
                <w:color w:val="auto"/>
                <w:sz w:val="21"/>
                <w:szCs w:val="21"/>
                <w:highlight w:val="none"/>
              </w:rPr>
            </w:pPr>
          </w:p>
        </w:tc>
        <w:tc>
          <w:tcPr>
            <w:tcW w:w="1741" w:type="dxa"/>
            <w:shd w:val="clear" w:color="auto" w:fill="FFFFFF" w:themeFill="background1"/>
            <w:vAlign w:val="center"/>
          </w:tcPr>
          <w:p w14:paraId="09CE77CA">
            <w:pPr>
              <w:widowControl/>
              <w:jc w:val="center"/>
              <w:rPr>
                <w:rFonts w:hint="eastAsia" w:hAnsi="宋体"/>
                <w:color w:val="auto"/>
                <w:sz w:val="21"/>
                <w:szCs w:val="21"/>
                <w:highlight w:val="none"/>
              </w:rPr>
            </w:pPr>
          </w:p>
        </w:tc>
      </w:tr>
    </w:tbl>
    <w:p w14:paraId="219572B0">
      <w:pPr>
        <w:spacing w:line="360" w:lineRule="auto"/>
        <w:rPr>
          <w:rFonts w:hint="eastAsia" w:hAnsi="宋体"/>
          <w:color w:val="auto"/>
          <w:sz w:val="24"/>
          <w:szCs w:val="24"/>
          <w:highlight w:val="none"/>
          <w:lang w:val="en-US" w:eastAsia="zh-CN"/>
        </w:rPr>
      </w:pPr>
      <w:r>
        <w:rPr>
          <w:rFonts w:hint="eastAsia" w:hAnsi="宋体"/>
          <w:color w:val="auto"/>
          <w:sz w:val="24"/>
          <w:szCs w:val="24"/>
          <w:highlight w:val="none"/>
          <w:lang w:val="en-US" w:eastAsia="zh-CN"/>
        </w:rPr>
        <w:t>注：投标报价明细表中合计应与开标一览表中投标总价一致。</w:t>
      </w:r>
    </w:p>
    <w:p w14:paraId="433444D3">
      <w:pPr>
        <w:spacing w:line="360" w:lineRule="auto"/>
        <w:rPr>
          <w:rFonts w:hint="default" w:hAnsi="宋体"/>
          <w:color w:val="auto"/>
          <w:sz w:val="24"/>
          <w:szCs w:val="24"/>
          <w:highlight w:val="none"/>
          <w:lang w:val="en-US" w:eastAsia="zh-CN"/>
        </w:rPr>
      </w:pPr>
    </w:p>
    <w:p w14:paraId="3DE87814">
      <w:pPr>
        <w:spacing w:line="360" w:lineRule="auto"/>
        <w:rPr>
          <w:rFonts w:hAnsi="宋体"/>
          <w:color w:val="auto"/>
          <w:sz w:val="24"/>
          <w:szCs w:val="24"/>
          <w:highlight w:val="none"/>
        </w:rPr>
      </w:pPr>
    </w:p>
    <w:p w14:paraId="1DA9A0AB">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49627F49">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31742AA4">
      <w:pPr>
        <w:spacing w:line="360" w:lineRule="auto"/>
        <w:rPr>
          <w:rFonts w:hAnsi="宋体"/>
          <w:color w:val="auto"/>
          <w:sz w:val="24"/>
          <w:szCs w:val="24"/>
          <w:highlight w:val="none"/>
        </w:rPr>
      </w:pPr>
      <w:r>
        <w:rPr>
          <w:rFonts w:hint="eastAsia" w:hAnsi="宋体"/>
          <w:color w:val="auto"/>
          <w:sz w:val="24"/>
          <w:szCs w:val="24"/>
          <w:highlight w:val="none"/>
        </w:rPr>
        <w:t>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日</w:t>
      </w:r>
    </w:p>
    <w:p w14:paraId="195036FD">
      <w:pPr>
        <w:spacing w:line="360" w:lineRule="auto"/>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2416118C">
      <w:pPr>
        <w:pStyle w:val="3"/>
        <w:spacing w:line="360" w:lineRule="auto"/>
        <w:ind w:left="0"/>
        <w:rPr>
          <w:rFonts w:hAnsi="宋体"/>
          <w:bCs w:val="0"/>
          <w:color w:val="auto"/>
          <w:sz w:val="24"/>
          <w:szCs w:val="24"/>
          <w:highlight w:val="none"/>
        </w:rPr>
      </w:pPr>
      <w:r>
        <w:rPr>
          <w:rFonts w:hAnsi="宋体"/>
          <w:bCs w:val="0"/>
          <w:color w:val="auto"/>
          <w:sz w:val="24"/>
          <w:szCs w:val="24"/>
          <w:highlight w:val="none"/>
        </w:rPr>
        <w:t>4</w:t>
      </w:r>
      <w:r>
        <w:rPr>
          <w:rFonts w:hint="eastAsia" w:hAnsi="宋体"/>
          <w:bCs w:val="0"/>
          <w:color w:val="auto"/>
          <w:sz w:val="24"/>
          <w:szCs w:val="24"/>
          <w:highlight w:val="none"/>
        </w:rPr>
        <w:t>、关于资格文件的声明函</w:t>
      </w:r>
    </w:p>
    <w:p w14:paraId="6F9A46DB">
      <w:pPr>
        <w:pStyle w:val="16"/>
        <w:spacing w:before="0" w:line="360" w:lineRule="auto"/>
        <w:ind w:left="0"/>
        <w:jc w:val="both"/>
        <w:rPr>
          <w:rFonts w:hAnsi="宋体"/>
          <w:color w:val="auto"/>
          <w:sz w:val="24"/>
          <w:szCs w:val="24"/>
          <w:highlight w:val="none"/>
        </w:rPr>
      </w:pPr>
    </w:p>
    <w:p w14:paraId="4DDBA2D9">
      <w:pPr>
        <w:pStyle w:val="16"/>
        <w:spacing w:before="0" w:line="360" w:lineRule="auto"/>
        <w:ind w:left="0"/>
        <w:jc w:val="both"/>
        <w:rPr>
          <w:rFonts w:hAnsi="宋体"/>
          <w:color w:val="auto"/>
          <w:sz w:val="24"/>
          <w:szCs w:val="24"/>
          <w:highlight w:val="none"/>
        </w:rPr>
      </w:pPr>
    </w:p>
    <w:p w14:paraId="6F3C6552">
      <w:pPr>
        <w:spacing w:line="360" w:lineRule="auto"/>
        <w:jc w:val="center"/>
        <w:rPr>
          <w:rFonts w:hAnsi="宋体"/>
          <w:b/>
          <w:bCs/>
          <w:color w:val="auto"/>
          <w:sz w:val="24"/>
          <w:szCs w:val="24"/>
          <w:highlight w:val="none"/>
        </w:rPr>
      </w:pPr>
      <w:r>
        <w:rPr>
          <w:rFonts w:hint="eastAsia" w:hAnsi="宋体"/>
          <w:b/>
          <w:bCs/>
          <w:color w:val="auto"/>
          <w:sz w:val="24"/>
          <w:szCs w:val="24"/>
          <w:highlight w:val="none"/>
        </w:rPr>
        <w:t>关于资格文件的声明函</w:t>
      </w:r>
    </w:p>
    <w:p w14:paraId="7810B8D9">
      <w:pPr>
        <w:pStyle w:val="16"/>
        <w:spacing w:before="0" w:line="360" w:lineRule="auto"/>
        <w:ind w:left="0"/>
        <w:jc w:val="both"/>
        <w:rPr>
          <w:rFonts w:hAnsi="宋体"/>
          <w:color w:val="auto"/>
          <w:sz w:val="24"/>
          <w:szCs w:val="24"/>
          <w:highlight w:val="none"/>
        </w:rPr>
      </w:pPr>
    </w:p>
    <w:p w14:paraId="1ACC909D">
      <w:pPr>
        <w:spacing w:line="360" w:lineRule="auto"/>
        <w:rPr>
          <w:rFonts w:hAnsi="宋体"/>
          <w:color w:val="auto"/>
          <w:sz w:val="24"/>
          <w:szCs w:val="24"/>
          <w:highlight w:val="none"/>
        </w:rPr>
      </w:pPr>
      <w:r>
        <w:rPr>
          <w:rFonts w:hint="eastAsia" w:hAnsi="宋体"/>
          <w:color w:val="auto"/>
          <w:sz w:val="24"/>
          <w:szCs w:val="24"/>
          <w:highlight w:val="none"/>
        </w:rPr>
        <w:t>苏州安信造价咨询有限公司：</w:t>
      </w:r>
    </w:p>
    <w:p w14:paraId="3E371633">
      <w:pPr>
        <w:spacing w:line="360" w:lineRule="auto"/>
        <w:ind w:firstLine="420"/>
        <w:rPr>
          <w:rFonts w:hAnsi="宋体"/>
          <w:color w:val="auto"/>
          <w:sz w:val="24"/>
          <w:szCs w:val="24"/>
          <w:highlight w:val="none"/>
        </w:rPr>
      </w:pPr>
      <w:r>
        <w:rPr>
          <w:rFonts w:hint="eastAsia" w:hAnsi="宋体"/>
          <w:color w:val="auto"/>
          <w:sz w:val="24"/>
          <w:szCs w:val="24"/>
          <w:highlight w:val="none"/>
        </w:rPr>
        <w:t>本公司愿就由贵单位组织实施的编号为号的招标活动进行投标。本公司所提交的投标文件中所有关于投标资格的文件、证明和陈述均是真实的、准确的。若与真实情况不符，本公司愿意承担由此而产生的一切后果。</w:t>
      </w:r>
    </w:p>
    <w:p w14:paraId="483504E6">
      <w:pPr>
        <w:pStyle w:val="16"/>
        <w:spacing w:before="0" w:line="360" w:lineRule="auto"/>
        <w:ind w:left="0"/>
        <w:jc w:val="both"/>
        <w:rPr>
          <w:rFonts w:hAnsi="宋体"/>
          <w:color w:val="auto"/>
          <w:sz w:val="24"/>
          <w:szCs w:val="24"/>
          <w:highlight w:val="none"/>
        </w:rPr>
      </w:pPr>
    </w:p>
    <w:p w14:paraId="02581E0C">
      <w:pPr>
        <w:pStyle w:val="16"/>
        <w:spacing w:before="0" w:line="360" w:lineRule="auto"/>
        <w:ind w:left="0"/>
        <w:jc w:val="both"/>
        <w:rPr>
          <w:rFonts w:hAnsi="宋体"/>
          <w:color w:val="auto"/>
          <w:sz w:val="24"/>
          <w:szCs w:val="24"/>
          <w:highlight w:val="none"/>
        </w:rPr>
      </w:pPr>
    </w:p>
    <w:p w14:paraId="621F8A25">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6CBF896E">
      <w:pPr>
        <w:spacing w:line="360" w:lineRule="auto"/>
        <w:rPr>
          <w:rFonts w:hAnsi="宋体"/>
          <w:color w:val="auto"/>
          <w:sz w:val="24"/>
          <w:szCs w:val="24"/>
          <w:highlight w:val="none"/>
        </w:rPr>
      </w:pPr>
      <w:r>
        <w:rPr>
          <w:rFonts w:hint="eastAsia" w:hAnsi="宋体"/>
          <w:color w:val="auto"/>
          <w:sz w:val="24"/>
          <w:szCs w:val="24"/>
          <w:highlight w:val="none"/>
        </w:rPr>
        <w:t>法定代表人或授权代理人（签字或盖章）：</w:t>
      </w:r>
    </w:p>
    <w:p w14:paraId="26436B60">
      <w:pPr>
        <w:spacing w:line="360" w:lineRule="auto"/>
        <w:rPr>
          <w:rFonts w:hAnsi="宋体"/>
          <w:color w:val="auto"/>
          <w:sz w:val="24"/>
          <w:szCs w:val="24"/>
          <w:highlight w:val="none"/>
        </w:rPr>
      </w:pPr>
      <w:r>
        <w:rPr>
          <w:rFonts w:hint="eastAsia" w:hAnsi="宋体"/>
          <w:color w:val="auto"/>
          <w:sz w:val="24"/>
          <w:szCs w:val="24"/>
          <w:highlight w:val="none"/>
        </w:rPr>
        <w:t>投标日期：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年</w:t>
      </w:r>
      <w:r>
        <w:rPr>
          <w:rFonts w:hAnsi="宋体"/>
          <w:color w:val="auto"/>
          <w:sz w:val="24"/>
          <w:szCs w:val="24"/>
          <w:highlight w:val="none"/>
        </w:rPr>
        <w:tab/>
      </w:r>
      <w:r>
        <w:rPr>
          <w:rFonts w:hint="eastAsia" w:hAnsi="宋体"/>
          <w:color w:val="auto"/>
          <w:sz w:val="24"/>
          <w:szCs w:val="24"/>
          <w:highlight w:val="none"/>
        </w:rPr>
        <w:t>月</w:t>
      </w:r>
      <w:r>
        <w:rPr>
          <w:rFonts w:hAnsi="宋体"/>
          <w:color w:val="auto"/>
          <w:sz w:val="24"/>
          <w:szCs w:val="24"/>
          <w:highlight w:val="none"/>
        </w:rPr>
        <w:tab/>
      </w:r>
      <w:r>
        <w:rPr>
          <w:rFonts w:hint="eastAsia" w:hAnsi="宋体"/>
          <w:color w:val="auto"/>
          <w:sz w:val="24"/>
          <w:szCs w:val="24"/>
          <w:highlight w:val="none"/>
        </w:rPr>
        <w:t>日</w:t>
      </w:r>
    </w:p>
    <w:p w14:paraId="2752280F">
      <w:pPr>
        <w:spacing w:line="360" w:lineRule="auto"/>
        <w:ind w:firstLine="420"/>
        <w:jc w:val="right"/>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230F6685">
      <w:pPr>
        <w:pStyle w:val="3"/>
        <w:spacing w:line="360" w:lineRule="auto"/>
        <w:ind w:left="0"/>
        <w:rPr>
          <w:rFonts w:hAnsi="宋体"/>
          <w:bCs w:val="0"/>
          <w:color w:val="auto"/>
          <w:sz w:val="24"/>
          <w:szCs w:val="24"/>
          <w:highlight w:val="none"/>
        </w:rPr>
      </w:pPr>
      <w:r>
        <w:rPr>
          <w:rFonts w:hAnsi="宋体"/>
          <w:bCs w:val="0"/>
          <w:color w:val="auto"/>
          <w:sz w:val="24"/>
          <w:szCs w:val="24"/>
          <w:highlight w:val="none"/>
        </w:rPr>
        <w:t>5</w:t>
      </w:r>
      <w:r>
        <w:rPr>
          <w:rFonts w:hint="eastAsia" w:hAnsi="宋体"/>
          <w:bCs w:val="0"/>
          <w:color w:val="auto"/>
          <w:sz w:val="24"/>
          <w:szCs w:val="24"/>
          <w:highlight w:val="none"/>
        </w:rPr>
        <w:t>、参加政府采购活动前三年内，在经营活动中没有重大违法记录声明</w:t>
      </w:r>
    </w:p>
    <w:p w14:paraId="53117503">
      <w:pPr>
        <w:pStyle w:val="16"/>
        <w:spacing w:before="0" w:line="360" w:lineRule="auto"/>
        <w:ind w:left="0"/>
        <w:jc w:val="both"/>
        <w:rPr>
          <w:rFonts w:hAnsi="宋体"/>
          <w:color w:val="auto"/>
          <w:sz w:val="24"/>
          <w:szCs w:val="24"/>
          <w:highlight w:val="none"/>
        </w:rPr>
      </w:pPr>
    </w:p>
    <w:p w14:paraId="040D38CE">
      <w:pPr>
        <w:spacing w:line="360" w:lineRule="auto"/>
        <w:jc w:val="center"/>
        <w:rPr>
          <w:rFonts w:hAnsi="宋体"/>
          <w:b/>
          <w:bCs/>
          <w:color w:val="auto"/>
          <w:sz w:val="24"/>
          <w:szCs w:val="24"/>
          <w:highlight w:val="none"/>
        </w:rPr>
      </w:pPr>
      <w:r>
        <w:rPr>
          <w:rFonts w:hint="eastAsia" w:hAnsi="宋体"/>
          <w:b/>
          <w:bCs/>
          <w:color w:val="auto"/>
          <w:sz w:val="24"/>
          <w:szCs w:val="24"/>
          <w:highlight w:val="none"/>
        </w:rPr>
        <w:t>参加政府采购活动前三年内，在经营活动中没有重大违法记录声明</w:t>
      </w:r>
    </w:p>
    <w:p w14:paraId="1FD6CA19">
      <w:pPr>
        <w:pStyle w:val="16"/>
        <w:spacing w:before="0" w:line="360" w:lineRule="auto"/>
        <w:ind w:left="0"/>
        <w:jc w:val="both"/>
        <w:rPr>
          <w:rFonts w:hAnsi="宋体"/>
          <w:color w:val="auto"/>
          <w:sz w:val="24"/>
          <w:szCs w:val="24"/>
          <w:highlight w:val="none"/>
        </w:rPr>
      </w:pPr>
    </w:p>
    <w:p w14:paraId="0420D73B">
      <w:pPr>
        <w:spacing w:line="360" w:lineRule="auto"/>
        <w:rPr>
          <w:rFonts w:hAnsi="宋体"/>
          <w:color w:val="auto"/>
          <w:sz w:val="24"/>
          <w:szCs w:val="24"/>
          <w:highlight w:val="none"/>
        </w:rPr>
      </w:pPr>
      <w:r>
        <w:rPr>
          <w:rFonts w:hint="eastAsia" w:hAnsi="宋体"/>
          <w:color w:val="auto"/>
          <w:sz w:val="24"/>
          <w:szCs w:val="24"/>
          <w:highlight w:val="none"/>
        </w:rPr>
        <w:t>致：苏州安信造价咨询有限公司：</w:t>
      </w:r>
    </w:p>
    <w:p w14:paraId="5C4BC735">
      <w:pPr>
        <w:pStyle w:val="16"/>
        <w:spacing w:before="0" w:line="360" w:lineRule="auto"/>
        <w:ind w:left="0"/>
        <w:jc w:val="both"/>
        <w:rPr>
          <w:rFonts w:hAnsi="宋体"/>
          <w:color w:val="auto"/>
          <w:sz w:val="24"/>
          <w:szCs w:val="24"/>
          <w:highlight w:val="none"/>
        </w:rPr>
      </w:pPr>
    </w:p>
    <w:p w14:paraId="5C5016B4">
      <w:pPr>
        <w:spacing w:line="360" w:lineRule="auto"/>
        <w:ind w:firstLine="420"/>
        <w:rPr>
          <w:rFonts w:hAnsi="宋体"/>
          <w:color w:val="auto"/>
          <w:sz w:val="24"/>
          <w:szCs w:val="24"/>
          <w:highlight w:val="none"/>
        </w:rPr>
      </w:pPr>
      <w:r>
        <w:rPr>
          <w:rFonts w:hint="eastAsia" w:hAnsi="宋体"/>
          <w:color w:val="auto"/>
          <w:sz w:val="24"/>
          <w:szCs w:val="24"/>
          <w:highlight w:val="none"/>
        </w:rPr>
        <w:t>我单位</w:t>
      </w:r>
      <w:r>
        <w:rPr>
          <w:rFonts w:hint="eastAsia" w:hAnsi="宋体"/>
          <w:color w:val="auto"/>
          <w:sz w:val="24"/>
          <w:szCs w:val="24"/>
          <w:highlight w:val="none"/>
          <w:u w:val="single"/>
        </w:rPr>
        <w:t>（供应商名称）</w:t>
      </w:r>
      <w:r>
        <w:rPr>
          <w:rFonts w:hint="eastAsia" w:hAnsi="宋体"/>
          <w:color w:val="auto"/>
          <w:sz w:val="24"/>
          <w:szCs w:val="24"/>
          <w:highlight w:val="none"/>
        </w:rPr>
        <w:t>在参加政府采购活动前三年内，没有重大违法记录，特此声明。</w:t>
      </w:r>
    </w:p>
    <w:p w14:paraId="473F6C1D">
      <w:pPr>
        <w:spacing w:line="360" w:lineRule="auto"/>
        <w:ind w:firstLine="420"/>
        <w:rPr>
          <w:rFonts w:hAnsi="宋体"/>
          <w:color w:val="auto"/>
          <w:sz w:val="24"/>
          <w:szCs w:val="24"/>
          <w:highlight w:val="none"/>
        </w:rPr>
      </w:pPr>
      <w:r>
        <w:rPr>
          <w:rFonts w:hint="eastAsia" w:hAnsi="宋体"/>
          <w:color w:val="auto"/>
          <w:sz w:val="24"/>
          <w:szCs w:val="24"/>
          <w:highlight w:val="none"/>
        </w:rPr>
        <w:t>若采购代理机构在本项目采购过程中发现我单位近三年内在经营活动中有重大违法记录，我单位将无条件退出本项目的招标，并承担因此引起的一切后果。</w:t>
      </w:r>
    </w:p>
    <w:p w14:paraId="3BA54EFC">
      <w:pPr>
        <w:pStyle w:val="16"/>
        <w:spacing w:before="0" w:line="360" w:lineRule="auto"/>
        <w:ind w:left="0"/>
        <w:jc w:val="both"/>
        <w:rPr>
          <w:rFonts w:hAnsi="宋体"/>
          <w:color w:val="auto"/>
          <w:sz w:val="24"/>
          <w:szCs w:val="24"/>
          <w:highlight w:val="none"/>
        </w:rPr>
      </w:pPr>
    </w:p>
    <w:p w14:paraId="0195EF2A">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376A3C25">
      <w:pPr>
        <w:spacing w:line="360" w:lineRule="auto"/>
        <w:rPr>
          <w:rFonts w:hAnsi="宋体"/>
          <w:color w:val="auto"/>
          <w:sz w:val="24"/>
          <w:szCs w:val="24"/>
          <w:highlight w:val="none"/>
        </w:rPr>
      </w:pPr>
      <w:r>
        <w:rPr>
          <w:rFonts w:hint="eastAsia" w:hAnsi="宋体"/>
          <w:color w:val="auto"/>
          <w:sz w:val="24"/>
          <w:szCs w:val="24"/>
          <w:highlight w:val="none"/>
        </w:rPr>
        <w:t>法定代表人（负责人）或代理人（签字或盖章）：</w:t>
      </w:r>
    </w:p>
    <w:p w14:paraId="25E276B5">
      <w:pPr>
        <w:spacing w:line="360" w:lineRule="auto"/>
        <w:rPr>
          <w:rFonts w:hAnsi="宋体"/>
          <w:color w:val="auto"/>
          <w:sz w:val="24"/>
          <w:szCs w:val="24"/>
          <w:highlight w:val="none"/>
        </w:rPr>
      </w:pPr>
      <w:r>
        <w:rPr>
          <w:rFonts w:hint="eastAsia" w:hAnsi="宋体"/>
          <w:color w:val="auto"/>
          <w:sz w:val="24"/>
          <w:szCs w:val="24"/>
          <w:highlight w:val="none"/>
        </w:rPr>
        <w:t>投标日期：年月日</w:t>
      </w:r>
    </w:p>
    <w:p w14:paraId="12EDA778">
      <w:pPr>
        <w:pStyle w:val="16"/>
        <w:spacing w:before="0" w:line="360" w:lineRule="auto"/>
        <w:ind w:left="0"/>
        <w:jc w:val="both"/>
        <w:rPr>
          <w:rFonts w:hAnsi="宋体"/>
          <w:color w:val="auto"/>
          <w:sz w:val="24"/>
          <w:szCs w:val="24"/>
          <w:highlight w:val="none"/>
        </w:rPr>
      </w:pPr>
    </w:p>
    <w:p w14:paraId="3DEE5B72">
      <w:pPr>
        <w:pStyle w:val="16"/>
        <w:spacing w:before="0" w:line="360" w:lineRule="auto"/>
        <w:ind w:left="0"/>
        <w:jc w:val="both"/>
        <w:rPr>
          <w:rFonts w:hAnsi="宋体"/>
          <w:color w:val="auto"/>
          <w:sz w:val="24"/>
          <w:szCs w:val="24"/>
          <w:highlight w:val="none"/>
        </w:rPr>
      </w:pPr>
    </w:p>
    <w:p w14:paraId="44E6D715">
      <w:pPr>
        <w:pStyle w:val="16"/>
        <w:spacing w:before="0" w:line="360" w:lineRule="auto"/>
        <w:ind w:left="0"/>
        <w:jc w:val="both"/>
        <w:rPr>
          <w:rFonts w:hAnsi="宋体"/>
          <w:color w:val="auto"/>
          <w:sz w:val="24"/>
          <w:szCs w:val="24"/>
          <w:highlight w:val="none"/>
        </w:rPr>
      </w:pPr>
    </w:p>
    <w:p w14:paraId="1393F82D">
      <w:pPr>
        <w:pStyle w:val="16"/>
        <w:spacing w:before="0" w:line="360" w:lineRule="auto"/>
        <w:ind w:left="0"/>
        <w:jc w:val="both"/>
        <w:rPr>
          <w:rFonts w:hAnsi="宋体"/>
          <w:color w:val="auto"/>
          <w:sz w:val="24"/>
          <w:szCs w:val="24"/>
          <w:highlight w:val="none"/>
        </w:rPr>
      </w:pPr>
    </w:p>
    <w:p w14:paraId="44594345">
      <w:pPr>
        <w:pStyle w:val="16"/>
        <w:spacing w:before="0" w:line="360" w:lineRule="auto"/>
        <w:ind w:left="0"/>
        <w:jc w:val="both"/>
        <w:rPr>
          <w:rFonts w:hAnsi="宋体"/>
          <w:color w:val="auto"/>
          <w:sz w:val="24"/>
          <w:szCs w:val="24"/>
          <w:highlight w:val="none"/>
        </w:rPr>
      </w:pPr>
    </w:p>
    <w:p w14:paraId="01C9297F">
      <w:pPr>
        <w:pStyle w:val="16"/>
        <w:spacing w:before="0" w:line="360" w:lineRule="auto"/>
        <w:ind w:left="0"/>
        <w:jc w:val="both"/>
        <w:rPr>
          <w:rFonts w:hAnsi="宋体"/>
          <w:color w:val="auto"/>
          <w:sz w:val="24"/>
          <w:szCs w:val="24"/>
          <w:highlight w:val="none"/>
        </w:rPr>
      </w:pPr>
    </w:p>
    <w:p w14:paraId="551B7178">
      <w:pPr>
        <w:pStyle w:val="16"/>
        <w:spacing w:before="0" w:line="360" w:lineRule="auto"/>
        <w:ind w:left="0"/>
        <w:jc w:val="both"/>
        <w:rPr>
          <w:rFonts w:hAnsi="宋体"/>
          <w:color w:val="auto"/>
          <w:sz w:val="24"/>
          <w:szCs w:val="24"/>
          <w:highlight w:val="none"/>
        </w:rPr>
      </w:pPr>
    </w:p>
    <w:p w14:paraId="16C4012A">
      <w:pPr>
        <w:pStyle w:val="16"/>
        <w:spacing w:before="0" w:line="360" w:lineRule="auto"/>
        <w:ind w:left="0"/>
        <w:jc w:val="both"/>
        <w:rPr>
          <w:rFonts w:hAnsi="宋体"/>
          <w:color w:val="auto"/>
          <w:sz w:val="24"/>
          <w:szCs w:val="24"/>
          <w:highlight w:val="none"/>
        </w:rPr>
      </w:pPr>
    </w:p>
    <w:p w14:paraId="5E410899">
      <w:pPr>
        <w:pStyle w:val="16"/>
        <w:spacing w:before="0" w:line="360" w:lineRule="auto"/>
        <w:ind w:left="0"/>
        <w:jc w:val="both"/>
        <w:rPr>
          <w:rFonts w:hAnsi="宋体"/>
          <w:color w:val="auto"/>
          <w:sz w:val="24"/>
          <w:szCs w:val="24"/>
          <w:highlight w:val="none"/>
        </w:rPr>
      </w:pPr>
    </w:p>
    <w:p w14:paraId="574163B4">
      <w:pPr>
        <w:pStyle w:val="16"/>
        <w:spacing w:before="0" w:line="360" w:lineRule="auto"/>
        <w:ind w:left="0"/>
        <w:jc w:val="both"/>
        <w:rPr>
          <w:rFonts w:hAnsi="宋体"/>
          <w:color w:val="auto"/>
          <w:sz w:val="24"/>
          <w:szCs w:val="24"/>
          <w:highlight w:val="none"/>
        </w:rPr>
      </w:pPr>
    </w:p>
    <w:p w14:paraId="0570A1AB">
      <w:pPr>
        <w:pStyle w:val="16"/>
        <w:spacing w:before="0" w:line="360" w:lineRule="auto"/>
        <w:ind w:left="0"/>
        <w:jc w:val="both"/>
        <w:rPr>
          <w:rFonts w:hAnsi="宋体"/>
          <w:color w:val="auto"/>
          <w:sz w:val="24"/>
          <w:szCs w:val="24"/>
          <w:highlight w:val="none"/>
        </w:rPr>
      </w:pPr>
    </w:p>
    <w:p w14:paraId="176A07AF">
      <w:pPr>
        <w:pStyle w:val="16"/>
        <w:spacing w:before="0" w:line="360" w:lineRule="auto"/>
        <w:ind w:left="0"/>
        <w:jc w:val="both"/>
        <w:rPr>
          <w:rFonts w:hAnsi="宋体"/>
          <w:color w:val="auto"/>
          <w:sz w:val="24"/>
          <w:szCs w:val="24"/>
          <w:highlight w:val="none"/>
        </w:rPr>
      </w:pPr>
    </w:p>
    <w:p w14:paraId="06D1085B">
      <w:pPr>
        <w:pStyle w:val="16"/>
        <w:spacing w:before="0" w:line="360" w:lineRule="auto"/>
        <w:ind w:left="0"/>
        <w:jc w:val="both"/>
        <w:rPr>
          <w:rFonts w:hAnsi="宋体"/>
          <w:color w:val="auto"/>
          <w:sz w:val="24"/>
          <w:szCs w:val="24"/>
          <w:highlight w:val="none"/>
        </w:rPr>
      </w:pPr>
    </w:p>
    <w:p w14:paraId="11A5C6F8">
      <w:pPr>
        <w:pStyle w:val="16"/>
        <w:spacing w:before="0" w:line="360" w:lineRule="auto"/>
        <w:ind w:left="0"/>
        <w:jc w:val="both"/>
        <w:rPr>
          <w:rFonts w:hAnsi="宋体"/>
          <w:color w:val="auto"/>
          <w:sz w:val="24"/>
          <w:szCs w:val="24"/>
          <w:highlight w:val="none"/>
        </w:rPr>
      </w:pPr>
    </w:p>
    <w:p w14:paraId="26675A77">
      <w:pPr>
        <w:pStyle w:val="16"/>
        <w:spacing w:before="0" w:line="360" w:lineRule="auto"/>
        <w:ind w:left="0"/>
        <w:jc w:val="both"/>
        <w:rPr>
          <w:rFonts w:hAnsi="宋体"/>
          <w:color w:val="auto"/>
          <w:sz w:val="24"/>
          <w:szCs w:val="24"/>
          <w:highlight w:val="none"/>
        </w:rPr>
      </w:pPr>
    </w:p>
    <w:p w14:paraId="360DF96B">
      <w:pPr>
        <w:pStyle w:val="16"/>
        <w:spacing w:before="0" w:line="360" w:lineRule="auto"/>
        <w:ind w:left="0"/>
        <w:jc w:val="both"/>
        <w:rPr>
          <w:rFonts w:hAnsi="宋体"/>
          <w:color w:val="auto"/>
          <w:sz w:val="24"/>
          <w:szCs w:val="24"/>
          <w:highlight w:val="none"/>
        </w:rPr>
      </w:pPr>
    </w:p>
    <w:p w14:paraId="61A12462">
      <w:pPr>
        <w:pStyle w:val="3"/>
        <w:spacing w:line="360" w:lineRule="auto"/>
        <w:ind w:left="0"/>
        <w:rPr>
          <w:rFonts w:hAnsi="宋体"/>
          <w:bCs w:val="0"/>
          <w:color w:val="auto"/>
          <w:sz w:val="24"/>
          <w:szCs w:val="24"/>
          <w:highlight w:val="none"/>
        </w:rPr>
        <w:sectPr>
          <w:pgSz w:w="11906" w:h="16838"/>
          <w:pgMar w:top="1361" w:right="1304" w:bottom="1304" w:left="1361" w:header="851" w:footer="992" w:gutter="0"/>
          <w:cols w:space="720" w:num="1"/>
          <w:docGrid w:linePitch="360" w:charSpace="0"/>
        </w:sectPr>
      </w:pPr>
    </w:p>
    <w:p w14:paraId="34C608D5">
      <w:pPr>
        <w:pStyle w:val="3"/>
        <w:spacing w:line="360" w:lineRule="auto"/>
        <w:ind w:left="0"/>
        <w:rPr>
          <w:rFonts w:hAnsi="宋体"/>
          <w:b w:val="0"/>
          <w:bCs w:val="0"/>
          <w:color w:val="auto"/>
          <w:sz w:val="24"/>
          <w:szCs w:val="24"/>
          <w:highlight w:val="none"/>
        </w:rPr>
      </w:pPr>
      <w:r>
        <w:rPr>
          <w:rFonts w:hint="eastAsia" w:hAnsi="宋体"/>
          <w:color w:val="auto"/>
          <w:sz w:val="24"/>
          <w:szCs w:val="24"/>
          <w:highlight w:val="none"/>
        </w:rPr>
        <w:t>6、具备履行合同所必需的设备和专业技术能力的证明材料</w:t>
      </w:r>
    </w:p>
    <w:p w14:paraId="1F06130F">
      <w:pPr>
        <w:spacing w:line="360" w:lineRule="auto"/>
        <w:jc w:val="center"/>
        <w:rPr>
          <w:rFonts w:hAnsi="宋体"/>
          <w:b/>
          <w:bCs/>
          <w:color w:val="auto"/>
          <w:sz w:val="24"/>
          <w:szCs w:val="24"/>
          <w:highlight w:val="none"/>
        </w:rPr>
      </w:pPr>
    </w:p>
    <w:p w14:paraId="42414FFD">
      <w:pPr>
        <w:spacing w:line="360" w:lineRule="auto"/>
        <w:jc w:val="center"/>
        <w:rPr>
          <w:rFonts w:hAnsi="宋体"/>
          <w:b/>
          <w:bCs/>
          <w:color w:val="auto"/>
          <w:sz w:val="24"/>
          <w:szCs w:val="24"/>
          <w:highlight w:val="none"/>
        </w:rPr>
      </w:pPr>
    </w:p>
    <w:p w14:paraId="47933C55">
      <w:pPr>
        <w:spacing w:line="360" w:lineRule="auto"/>
        <w:jc w:val="center"/>
        <w:rPr>
          <w:rFonts w:hAnsi="宋体"/>
          <w:b/>
          <w:bCs/>
          <w:color w:val="auto"/>
          <w:sz w:val="24"/>
          <w:szCs w:val="24"/>
          <w:highlight w:val="none"/>
        </w:rPr>
      </w:pPr>
    </w:p>
    <w:p w14:paraId="2848EA42">
      <w:pPr>
        <w:spacing w:line="360" w:lineRule="auto"/>
        <w:jc w:val="center"/>
        <w:rPr>
          <w:rFonts w:hAnsi="宋体" w:cs="Times New Roman"/>
          <w:b/>
          <w:color w:val="auto"/>
          <w:kern w:val="2"/>
          <w:sz w:val="24"/>
          <w:szCs w:val="21"/>
          <w:highlight w:val="none"/>
        </w:rPr>
      </w:pPr>
      <w:r>
        <w:rPr>
          <w:rFonts w:hint="eastAsia" w:hAnsi="宋体"/>
          <w:b/>
          <w:bCs/>
          <w:color w:val="auto"/>
          <w:sz w:val="24"/>
          <w:szCs w:val="24"/>
          <w:highlight w:val="none"/>
        </w:rPr>
        <w:t>具备履行合同所必需的设备和专业技术能力的证明材料</w:t>
      </w:r>
    </w:p>
    <w:p w14:paraId="2A860A2D">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我单位郑重声明：我单位具备履行本项采购合同所必需的设备和专业技术能力，为履行本项采购合同我公司具备如下主要设备和主要专业技术能力：</w:t>
      </w:r>
    </w:p>
    <w:p w14:paraId="67D5F658">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主要设备有：。</w:t>
      </w:r>
    </w:p>
    <w:p w14:paraId="1908047A">
      <w:pPr>
        <w:spacing w:line="460" w:lineRule="exact"/>
        <w:ind w:firstLine="492"/>
        <w:jc w:val="both"/>
        <w:rPr>
          <w:rFonts w:hAnsi="宋体" w:cs="Times New Roman"/>
          <w:bCs/>
          <w:color w:val="auto"/>
          <w:kern w:val="2"/>
          <w:sz w:val="24"/>
          <w:szCs w:val="21"/>
          <w:highlight w:val="none"/>
        </w:rPr>
      </w:pPr>
      <w:r>
        <w:rPr>
          <w:rFonts w:hint="eastAsia" w:hAnsi="宋体" w:cs="Times New Roman"/>
          <w:bCs/>
          <w:color w:val="auto"/>
          <w:kern w:val="2"/>
          <w:sz w:val="24"/>
          <w:szCs w:val="21"/>
          <w:highlight w:val="none"/>
        </w:rPr>
        <w:t>主要专业技术能力有：。</w:t>
      </w:r>
    </w:p>
    <w:p w14:paraId="51C65E9A">
      <w:pPr>
        <w:spacing w:line="360" w:lineRule="auto"/>
        <w:ind w:firstLine="420"/>
        <w:jc w:val="right"/>
        <w:rPr>
          <w:rFonts w:hAnsi="宋体"/>
          <w:color w:val="auto"/>
          <w:sz w:val="24"/>
          <w:szCs w:val="24"/>
          <w:highlight w:val="none"/>
        </w:rPr>
      </w:pPr>
    </w:p>
    <w:p w14:paraId="133E7083">
      <w:pPr>
        <w:pStyle w:val="103"/>
        <w:rPr>
          <w:rFonts w:eastAsiaTheme="minorEastAsia"/>
          <w:color w:val="auto"/>
          <w:highlight w:val="none"/>
        </w:rPr>
      </w:pPr>
    </w:p>
    <w:p w14:paraId="5C0FE28A">
      <w:pPr>
        <w:spacing w:line="360" w:lineRule="auto"/>
        <w:jc w:val="right"/>
        <w:rPr>
          <w:rFonts w:hint="eastAsia" w:hAnsi="宋体"/>
          <w:color w:val="auto"/>
          <w:sz w:val="24"/>
          <w:szCs w:val="24"/>
          <w:highlight w:val="none"/>
        </w:rPr>
      </w:pPr>
      <w:r>
        <w:rPr>
          <w:rFonts w:hint="eastAsia" w:hAnsi="宋体"/>
          <w:color w:val="auto"/>
          <w:sz w:val="24"/>
          <w:szCs w:val="24"/>
          <w:highlight w:val="none"/>
        </w:rPr>
        <w:t>投标单位（单位盖章）：</w:t>
      </w:r>
    </w:p>
    <w:p w14:paraId="4C888B17">
      <w:pPr>
        <w:spacing w:line="360" w:lineRule="auto"/>
        <w:jc w:val="right"/>
        <w:rPr>
          <w:rFonts w:hint="eastAsia" w:hAnsi="宋体"/>
          <w:color w:val="auto"/>
          <w:sz w:val="24"/>
          <w:szCs w:val="24"/>
          <w:highlight w:val="none"/>
        </w:rPr>
      </w:pPr>
    </w:p>
    <w:p w14:paraId="4C9AA5BB">
      <w:pPr>
        <w:spacing w:line="460" w:lineRule="exact"/>
        <w:ind w:firstLine="492"/>
        <w:jc w:val="both"/>
        <w:rPr>
          <w:rFonts w:hint="eastAsia" w:hAnsi="宋体" w:cs="Times New Roman"/>
          <w:bCs/>
          <w:color w:val="auto"/>
          <w:kern w:val="2"/>
          <w:sz w:val="24"/>
          <w:szCs w:val="21"/>
          <w:highlight w:val="none"/>
        </w:rPr>
      </w:pPr>
    </w:p>
    <w:p w14:paraId="6B50D7F8">
      <w:pPr>
        <w:spacing w:line="460" w:lineRule="exact"/>
        <w:ind w:firstLine="492"/>
        <w:jc w:val="both"/>
        <w:rPr>
          <w:rFonts w:hint="eastAsia" w:hAnsi="宋体" w:cs="Times New Roman"/>
          <w:bCs/>
          <w:color w:val="auto"/>
          <w:kern w:val="2"/>
          <w:sz w:val="24"/>
          <w:szCs w:val="21"/>
          <w:highlight w:val="none"/>
        </w:rPr>
      </w:pPr>
      <w:r>
        <w:rPr>
          <w:rFonts w:hint="eastAsia" w:hAnsi="宋体" w:cs="Times New Roman"/>
          <w:bCs/>
          <w:color w:val="auto"/>
          <w:kern w:val="2"/>
          <w:sz w:val="24"/>
          <w:szCs w:val="21"/>
          <w:highlight w:val="none"/>
        </w:rPr>
        <w:t>注：具备履行合同所必需的设备和专业技术能力的证明材料上传至资格条件-“车辆”、“驾驶员”端口。</w:t>
      </w:r>
    </w:p>
    <w:p w14:paraId="5E900199">
      <w:pPr>
        <w:spacing w:line="360" w:lineRule="auto"/>
        <w:jc w:val="right"/>
        <w:rPr>
          <w:rFonts w:hint="eastAsia" w:hAnsi="宋体"/>
          <w:color w:val="auto"/>
          <w:sz w:val="24"/>
          <w:szCs w:val="24"/>
          <w:highlight w:val="none"/>
        </w:rPr>
        <w:sectPr>
          <w:pgSz w:w="11906" w:h="16838"/>
          <w:pgMar w:top="1361" w:right="1304" w:bottom="1304" w:left="1361" w:header="851" w:footer="992" w:gutter="0"/>
          <w:cols w:space="720" w:num="1"/>
          <w:docGrid w:linePitch="360" w:charSpace="0"/>
        </w:sectPr>
      </w:pPr>
    </w:p>
    <w:p w14:paraId="16367898">
      <w:pPr>
        <w:pStyle w:val="3"/>
        <w:spacing w:line="360" w:lineRule="auto"/>
        <w:ind w:left="0"/>
        <w:rPr>
          <w:rFonts w:hAnsi="宋体"/>
          <w:bCs w:val="0"/>
          <w:color w:val="auto"/>
          <w:sz w:val="24"/>
          <w:szCs w:val="24"/>
          <w:highlight w:val="none"/>
        </w:rPr>
      </w:pPr>
      <w:r>
        <w:rPr>
          <w:rFonts w:hAnsi="宋体"/>
          <w:bCs w:val="0"/>
          <w:color w:val="auto"/>
          <w:sz w:val="24"/>
          <w:szCs w:val="24"/>
          <w:highlight w:val="none"/>
        </w:rPr>
        <w:t>7</w:t>
      </w:r>
      <w:r>
        <w:rPr>
          <w:rFonts w:hint="eastAsia" w:hAnsi="宋体"/>
          <w:bCs w:val="0"/>
          <w:color w:val="auto"/>
          <w:sz w:val="24"/>
          <w:szCs w:val="24"/>
          <w:highlight w:val="none"/>
        </w:rPr>
        <w:t>、投标单位情况表</w:t>
      </w:r>
    </w:p>
    <w:p w14:paraId="004F1D9C">
      <w:pPr>
        <w:spacing w:line="360" w:lineRule="auto"/>
        <w:ind w:left="420"/>
        <w:jc w:val="center"/>
        <w:rPr>
          <w:rFonts w:hAnsi="宋体"/>
          <w:color w:val="auto"/>
          <w:sz w:val="24"/>
          <w:szCs w:val="24"/>
          <w:highlight w:val="none"/>
        </w:rPr>
      </w:pPr>
      <w:r>
        <w:rPr>
          <w:rFonts w:hint="eastAsia" w:hAnsi="宋体"/>
          <w:color w:val="auto"/>
          <w:sz w:val="24"/>
          <w:szCs w:val="24"/>
          <w:highlight w:val="none"/>
        </w:rPr>
        <w:t>投标单位情况表</w:t>
      </w:r>
    </w:p>
    <w:p w14:paraId="70A80DFF">
      <w:pPr>
        <w:spacing w:line="360" w:lineRule="auto"/>
        <w:ind w:left="420"/>
        <w:rPr>
          <w:rFonts w:hAnsi="宋体"/>
          <w:color w:val="auto"/>
          <w:sz w:val="24"/>
          <w:szCs w:val="24"/>
          <w:highlight w:val="none"/>
        </w:rPr>
      </w:pPr>
      <w:r>
        <w:rPr>
          <w:rFonts w:hint="eastAsia" w:hAnsi="宋体"/>
          <w:color w:val="auto"/>
          <w:sz w:val="24"/>
          <w:szCs w:val="24"/>
          <w:highlight w:val="none"/>
        </w:rPr>
        <w:t>单位名称（盖章）：</w:t>
      </w:r>
    </w:p>
    <w:tbl>
      <w:tblPr>
        <w:tblStyle w:val="42"/>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2552"/>
        <w:gridCol w:w="1417"/>
        <w:gridCol w:w="1701"/>
        <w:gridCol w:w="1418"/>
      </w:tblGrid>
      <w:tr w14:paraId="5C9F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549EB92D">
            <w:pPr>
              <w:jc w:val="center"/>
              <w:rPr>
                <w:rFonts w:hAnsi="宋体"/>
                <w:color w:val="auto"/>
                <w:sz w:val="24"/>
                <w:szCs w:val="24"/>
                <w:highlight w:val="none"/>
              </w:rPr>
            </w:pPr>
            <w:r>
              <w:rPr>
                <w:rFonts w:hint="eastAsia" w:hAnsi="宋体"/>
                <w:color w:val="auto"/>
                <w:sz w:val="24"/>
                <w:szCs w:val="24"/>
                <w:highlight w:val="none"/>
              </w:rPr>
              <w:t>法定代表人</w:t>
            </w:r>
          </w:p>
        </w:tc>
        <w:tc>
          <w:tcPr>
            <w:tcW w:w="2552" w:type="dxa"/>
            <w:tcBorders>
              <w:top w:val="single" w:color="000000" w:sz="6" w:space="0"/>
              <w:left w:val="single" w:color="000000" w:sz="6" w:space="0"/>
              <w:bottom w:val="single" w:color="000000" w:sz="6" w:space="0"/>
              <w:right w:val="single" w:color="000000" w:sz="6" w:space="0"/>
            </w:tcBorders>
            <w:vAlign w:val="center"/>
          </w:tcPr>
          <w:p w14:paraId="52B29008">
            <w:pPr>
              <w:jc w:val="center"/>
              <w:rPr>
                <w:rFonts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E4C37E9">
            <w:pPr>
              <w:jc w:val="center"/>
              <w:rPr>
                <w:rFonts w:hAnsi="宋体"/>
                <w:color w:val="auto"/>
                <w:sz w:val="24"/>
                <w:szCs w:val="24"/>
                <w:highlight w:val="none"/>
              </w:rPr>
            </w:pPr>
            <w:r>
              <w:rPr>
                <w:rFonts w:hint="eastAsia" w:hAnsi="宋体"/>
                <w:color w:val="auto"/>
                <w:sz w:val="24"/>
                <w:szCs w:val="24"/>
                <w:highlight w:val="none"/>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4CBAA196">
            <w:pPr>
              <w:jc w:val="center"/>
              <w:rPr>
                <w:rFonts w:hAnsi="宋体"/>
                <w:color w:val="auto"/>
                <w:sz w:val="24"/>
                <w:szCs w:val="24"/>
                <w:highlight w:val="none"/>
              </w:rPr>
            </w:pPr>
          </w:p>
        </w:tc>
      </w:tr>
      <w:tr w14:paraId="2ABB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40F12EC2">
            <w:pPr>
              <w:jc w:val="center"/>
              <w:rPr>
                <w:rFonts w:hAnsi="宋体"/>
                <w:color w:val="auto"/>
                <w:sz w:val="24"/>
                <w:szCs w:val="24"/>
                <w:highlight w:val="none"/>
              </w:rPr>
            </w:pPr>
            <w:r>
              <w:rPr>
                <w:rFonts w:hint="eastAsia" w:hAnsi="宋体"/>
                <w:color w:val="auto"/>
                <w:sz w:val="24"/>
                <w:szCs w:val="24"/>
                <w:highlight w:val="none"/>
              </w:rPr>
              <w:t>企业地址</w:t>
            </w:r>
          </w:p>
        </w:tc>
        <w:tc>
          <w:tcPr>
            <w:tcW w:w="2552" w:type="dxa"/>
            <w:tcBorders>
              <w:top w:val="single" w:color="000000" w:sz="6" w:space="0"/>
              <w:left w:val="single" w:color="000000" w:sz="6" w:space="0"/>
              <w:bottom w:val="single" w:color="000000" w:sz="6" w:space="0"/>
              <w:right w:val="single" w:color="000000" w:sz="6" w:space="0"/>
            </w:tcBorders>
            <w:vAlign w:val="center"/>
          </w:tcPr>
          <w:p w14:paraId="5085EFC7">
            <w:pPr>
              <w:jc w:val="center"/>
              <w:rPr>
                <w:rFonts w:hAnsi="宋体"/>
                <w:color w:val="auto"/>
                <w:sz w:val="24"/>
                <w:szCs w:val="24"/>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4150A51">
            <w:pPr>
              <w:jc w:val="center"/>
              <w:rPr>
                <w:rFonts w:hAnsi="宋体"/>
                <w:color w:val="auto"/>
                <w:sz w:val="24"/>
                <w:szCs w:val="24"/>
                <w:highlight w:val="none"/>
              </w:rPr>
            </w:pPr>
            <w:r>
              <w:rPr>
                <w:rFonts w:hint="eastAsia" w:hAnsi="宋体"/>
                <w:color w:val="auto"/>
                <w:sz w:val="24"/>
                <w:szCs w:val="24"/>
                <w:highlight w:val="none"/>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B2E3DCE">
            <w:pPr>
              <w:jc w:val="center"/>
              <w:rPr>
                <w:rFonts w:hAnsi="宋体"/>
                <w:color w:val="auto"/>
                <w:sz w:val="24"/>
                <w:szCs w:val="24"/>
                <w:highlight w:val="none"/>
              </w:rPr>
            </w:pPr>
            <w:r>
              <w:rPr>
                <w:rFonts w:hint="eastAsia" w:hAnsi="宋体"/>
                <w:color w:val="auto"/>
                <w:sz w:val="24"/>
                <w:szCs w:val="24"/>
                <w:highlight w:val="none"/>
              </w:rPr>
              <w:t>万元</w:t>
            </w:r>
          </w:p>
        </w:tc>
      </w:tr>
      <w:tr w14:paraId="0692D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2D4CEF2">
            <w:pPr>
              <w:jc w:val="center"/>
              <w:rPr>
                <w:rFonts w:hAnsi="宋体"/>
                <w:color w:val="auto"/>
                <w:sz w:val="24"/>
                <w:szCs w:val="24"/>
                <w:highlight w:val="none"/>
              </w:rPr>
            </w:pPr>
            <w:r>
              <w:rPr>
                <w:rFonts w:hint="eastAsia" w:hAnsi="宋体"/>
                <w:color w:val="auto"/>
                <w:sz w:val="24"/>
                <w:szCs w:val="24"/>
                <w:highlight w:val="none"/>
              </w:rPr>
              <w:t>经营范围</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8B1F1DA">
            <w:pPr>
              <w:jc w:val="center"/>
              <w:rPr>
                <w:rFonts w:hAnsi="宋体"/>
                <w:color w:val="auto"/>
                <w:sz w:val="24"/>
                <w:szCs w:val="24"/>
                <w:highlight w:val="none"/>
              </w:rPr>
            </w:pPr>
          </w:p>
        </w:tc>
      </w:tr>
      <w:tr w14:paraId="0940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411B08D9">
            <w:pPr>
              <w:jc w:val="center"/>
              <w:rPr>
                <w:rFonts w:hAnsi="宋体"/>
                <w:color w:val="auto"/>
                <w:sz w:val="24"/>
                <w:szCs w:val="24"/>
                <w:highlight w:val="none"/>
              </w:rPr>
            </w:pPr>
            <w:r>
              <w:rPr>
                <w:rFonts w:hint="eastAsia" w:hAnsi="宋体"/>
                <w:color w:val="auto"/>
                <w:sz w:val="24"/>
                <w:szCs w:val="24"/>
                <w:highlight w:val="none"/>
              </w:rPr>
              <w:t>职工人数</w:t>
            </w:r>
          </w:p>
        </w:tc>
        <w:tc>
          <w:tcPr>
            <w:tcW w:w="2552" w:type="dxa"/>
            <w:tcBorders>
              <w:top w:val="single" w:color="000000" w:sz="6" w:space="0"/>
              <w:left w:val="single" w:color="000000" w:sz="6" w:space="0"/>
              <w:bottom w:val="single" w:color="000000" w:sz="6" w:space="0"/>
              <w:right w:val="single" w:color="000000" w:sz="6" w:space="0"/>
            </w:tcBorders>
            <w:vAlign w:val="center"/>
          </w:tcPr>
          <w:p w14:paraId="12CEAF29">
            <w:pPr>
              <w:jc w:val="center"/>
              <w:rPr>
                <w:rFonts w:hAnsi="宋体"/>
                <w:color w:val="auto"/>
                <w:sz w:val="24"/>
                <w:szCs w:val="24"/>
                <w:highlight w:val="none"/>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04B463A3">
            <w:pPr>
              <w:jc w:val="center"/>
              <w:rPr>
                <w:rFonts w:hAnsi="宋体"/>
                <w:color w:val="auto"/>
                <w:sz w:val="24"/>
                <w:szCs w:val="24"/>
                <w:highlight w:val="none"/>
              </w:rPr>
            </w:pPr>
            <w:r>
              <w:rPr>
                <w:rFonts w:hint="eastAsia" w:hAnsi="宋体"/>
                <w:color w:val="auto"/>
                <w:sz w:val="24"/>
                <w:szCs w:val="24"/>
                <w:highlight w:val="none"/>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68CE8721">
            <w:pPr>
              <w:jc w:val="center"/>
              <w:rPr>
                <w:rFonts w:hAnsi="宋体"/>
                <w:color w:val="auto"/>
                <w:sz w:val="24"/>
                <w:szCs w:val="24"/>
                <w:highlight w:val="none"/>
              </w:rPr>
            </w:pPr>
          </w:p>
        </w:tc>
      </w:tr>
      <w:tr w14:paraId="4C140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3FF0731F">
            <w:pPr>
              <w:jc w:val="center"/>
              <w:rPr>
                <w:rFonts w:hAnsi="宋体"/>
                <w:color w:val="auto"/>
                <w:sz w:val="24"/>
                <w:szCs w:val="24"/>
                <w:highlight w:val="none"/>
              </w:rPr>
            </w:pPr>
            <w:r>
              <w:rPr>
                <w:rFonts w:hint="eastAsia" w:hAnsi="宋体"/>
                <w:color w:val="auto"/>
                <w:sz w:val="24"/>
                <w:szCs w:val="24"/>
                <w:highlight w:val="none"/>
              </w:rPr>
              <w:t>资产总计</w:t>
            </w:r>
          </w:p>
        </w:tc>
        <w:tc>
          <w:tcPr>
            <w:tcW w:w="2552" w:type="dxa"/>
            <w:tcBorders>
              <w:top w:val="single" w:color="000000" w:sz="6" w:space="0"/>
              <w:left w:val="single" w:color="000000" w:sz="6" w:space="0"/>
              <w:bottom w:val="single" w:color="000000" w:sz="6" w:space="0"/>
              <w:right w:val="single" w:color="000000" w:sz="6" w:space="0"/>
            </w:tcBorders>
            <w:vAlign w:val="center"/>
          </w:tcPr>
          <w:p w14:paraId="021A1796">
            <w:pPr>
              <w:jc w:val="center"/>
              <w:rPr>
                <w:rFonts w:hAnsi="宋体"/>
                <w:color w:val="auto"/>
                <w:sz w:val="24"/>
                <w:szCs w:val="24"/>
                <w:highlight w:val="none"/>
              </w:rPr>
            </w:pPr>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323AFD70">
            <w:pPr>
              <w:jc w:val="center"/>
              <w:rPr>
                <w:rFonts w:hAnsi="宋体"/>
                <w:color w:val="auto"/>
                <w:sz w:val="24"/>
                <w:szCs w:val="24"/>
                <w:highlight w:val="none"/>
              </w:rPr>
            </w:pPr>
            <w:r>
              <w:rPr>
                <w:rFonts w:hint="eastAsia" w:hAnsi="宋体"/>
                <w:color w:val="auto"/>
                <w:sz w:val="24"/>
                <w:szCs w:val="24"/>
                <w:highlight w:val="none"/>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5B9727F9">
            <w:pPr>
              <w:jc w:val="center"/>
              <w:rPr>
                <w:rFonts w:hAnsi="宋体"/>
                <w:color w:val="auto"/>
                <w:sz w:val="24"/>
                <w:szCs w:val="24"/>
                <w:highlight w:val="none"/>
              </w:rPr>
            </w:pPr>
            <w:r>
              <w:rPr>
                <w:rFonts w:hint="eastAsia" w:hAnsi="宋体"/>
                <w:color w:val="auto"/>
                <w:sz w:val="24"/>
                <w:szCs w:val="24"/>
                <w:highlight w:val="none"/>
              </w:rPr>
              <w:t>万元</w:t>
            </w:r>
          </w:p>
        </w:tc>
      </w:tr>
      <w:tr w14:paraId="39E12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3A91BCA4">
            <w:pPr>
              <w:jc w:val="center"/>
              <w:rPr>
                <w:rFonts w:hAnsi="宋体"/>
                <w:color w:val="auto"/>
                <w:sz w:val="24"/>
                <w:szCs w:val="24"/>
                <w:highlight w:val="none"/>
              </w:rPr>
            </w:pPr>
            <w:r>
              <w:rPr>
                <w:rFonts w:hint="eastAsia" w:hAnsi="宋体"/>
                <w:color w:val="auto"/>
                <w:sz w:val="24"/>
                <w:szCs w:val="24"/>
                <w:highlight w:val="none"/>
              </w:rPr>
              <w:t>股东权益</w:t>
            </w:r>
          </w:p>
        </w:tc>
        <w:tc>
          <w:tcPr>
            <w:tcW w:w="2552" w:type="dxa"/>
            <w:tcBorders>
              <w:top w:val="single" w:color="000000" w:sz="6" w:space="0"/>
              <w:left w:val="single" w:color="000000" w:sz="6" w:space="0"/>
              <w:bottom w:val="single" w:color="000000" w:sz="6" w:space="0"/>
              <w:right w:val="single" w:color="000000" w:sz="6" w:space="0"/>
            </w:tcBorders>
            <w:vAlign w:val="center"/>
          </w:tcPr>
          <w:p w14:paraId="1556BC4F">
            <w:pPr>
              <w:ind w:firstLine="840"/>
              <w:jc w:val="center"/>
              <w:rPr>
                <w:rFonts w:hAnsi="宋体"/>
                <w:color w:val="auto"/>
                <w:sz w:val="24"/>
                <w:szCs w:val="24"/>
                <w:highlight w:val="none"/>
              </w:rPr>
            </w:pPr>
            <w:r>
              <w:rPr>
                <w:rFonts w:hint="eastAsia" w:hAnsi="宋体"/>
                <w:color w:val="auto"/>
                <w:sz w:val="24"/>
                <w:szCs w:val="24"/>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35B54311">
            <w:pPr>
              <w:jc w:val="center"/>
              <w:rPr>
                <w:rFonts w:hAnsi="宋体"/>
                <w:color w:val="auto"/>
                <w:sz w:val="24"/>
                <w:szCs w:val="24"/>
                <w:highlight w:val="none"/>
              </w:rPr>
            </w:pPr>
            <w:r>
              <w:rPr>
                <w:rFonts w:hint="eastAsia" w:hAnsi="宋体"/>
                <w:color w:val="auto"/>
                <w:sz w:val="24"/>
                <w:szCs w:val="24"/>
                <w:highlight w:val="none"/>
              </w:rPr>
              <w:t>销售收入</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2F75359">
            <w:pPr>
              <w:jc w:val="center"/>
              <w:rPr>
                <w:rFonts w:hAnsi="宋体"/>
                <w:color w:val="auto"/>
                <w:sz w:val="24"/>
                <w:szCs w:val="24"/>
                <w:highlight w:val="none"/>
              </w:rPr>
            </w:pPr>
            <w:r>
              <w:rPr>
                <w:rFonts w:hAnsi="宋体"/>
                <w:color w:val="auto"/>
                <w:sz w:val="24"/>
                <w:szCs w:val="24"/>
                <w:highlight w:val="none"/>
              </w:rPr>
              <w:t>202</w:t>
            </w:r>
            <w:r>
              <w:rPr>
                <w:rFonts w:hint="eastAsia" w:hAnsi="宋体"/>
                <w:color w:val="auto"/>
                <w:sz w:val="24"/>
                <w:szCs w:val="24"/>
                <w:highlight w:val="none"/>
                <w:lang w:val="en-US" w:eastAsia="zh-CN"/>
              </w:rPr>
              <w:t>5</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万元</w:t>
            </w:r>
          </w:p>
        </w:tc>
      </w:tr>
      <w:tr w14:paraId="10C00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C9B1B4F">
            <w:pPr>
              <w:jc w:val="center"/>
              <w:rPr>
                <w:rFonts w:hAnsi="宋体"/>
                <w:color w:val="auto"/>
                <w:sz w:val="24"/>
                <w:szCs w:val="24"/>
                <w:highlight w:val="none"/>
              </w:rPr>
            </w:pPr>
            <w:r>
              <w:rPr>
                <w:rFonts w:hint="eastAsia" w:hAnsi="宋体"/>
                <w:color w:val="auto"/>
                <w:sz w:val="24"/>
                <w:szCs w:val="24"/>
                <w:highlight w:val="none"/>
              </w:rPr>
              <w:t>实现利润</w:t>
            </w:r>
          </w:p>
        </w:tc>
        <w:tc>
          <w:tcPr>
            <w:tcW w:w="2552" w:type="dxa"/>
            <w:tcBorders>
              <w:top w:val="single" w:color="000000" w:sz="6" w:space="0"/>
              <w:left w:val="single" w:color="000000" w:sz="6" w:space="0"/>
              <w:bottom w:val="single" w:color="000000" w:sz="6" w:space="0"/>
              <w:right w:val="single" w:color="000000" w:sz="6" w:space="0"/>
            </w:tcBorders>
            <w:vAlign w:val="center"/>
          </w:tcPr>
          <w:p w14:paraId="745DBFE1">
            <w:pPr>
              <w:jc w:val="center"/>
              <w:rPr>
                <w:rFonts w:hAnsi="宋体"/>
                <w:color w:val="auto"/>
                <w:sz w:val="24"/>
                <w:szCs w:val="24"/>
                <w:highlight w:val="none"/>
              </w:rPr>
            </w:pPr>
            <w:r>
              <w:rPr>
                <w:rFonts w:hAnsi="宋体"/>
                <w:color w:val="auto"/>
                <w:sz w:val="24"/>
                <w:szCs w:val="24"/>
                <w:highlight w:val="none"/>
              </w:rPr>
              <w:t>202</w:t>
            </w:r>
            <w:r>
              <w:rPr>
                <w:rFonts w:hint="eastAsia" w:hAnsi="宋体"/>
                <w:color w:val="auto"/>
                <w:sz w:val="24"/>
                <w:szCs w:val="24"/>
                <w:highlight w:val="none"/>
                <w:lang w:val="en-US" w:eastAsia="zh-CN"/>
              </w:rPr>
              <w:t>5</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w:t>
            </w:r>
            <w:bookmarkStart w:id="43" w:name="_GoBack"/>
            <w:bookmarkEnd w:id="43"/>
            <w:r>
              <w:rPr>
                <w:rFonts w:hint="eastAsia" w:hAnsi="宋体"/>
                <w:color w:val="auto"/>
                <w:sz w:val="24"/>
                <w:szCs w:val="24"/>
                <w:highlight w:val="none"/>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5018C6C6">
            <w:pPr>
              <w:jc w:val="center"/>
              <w:rPr>
                <w:rFonts w:hAnsi="宋体"/>
                <w:color w:val="auto"/>
                <w:sz w:val="24"/>
                <w:szCs w:val="24"/>
                <w:highlight w:val="none"/>
              </w:rPr>
            </w:pP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3E6B6F8E">
            <w:pPr>
              <w:jc w:val="center"/>
              <w:rPr>
                <w:rFonts w:hAnsi="宋体"/>
                <w:color w:val="auto"/>
                <w:sz w:val="24"/>
                <w:szCs w:val="24"/>
                <w:highlight w:val="none"/>
              </w:rPr>
            </w:pPr>
          </w:p>
        </w:tc>
      </w:tr>
      <w:tr w14:paraId="2C88B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09E6527B">
            <w:pPr>
              <w:jc w:val="center"/>
              <w:rPr>
                <w:rFonts w:hAnsi="宋体"/>
                <w:color w:val="auto"/>
                <w:sz w:val="24"/>
                <w:szCs w:val="24"/>
                <w:highlight w:val="none"/>
              </w:rPr>
            </w:pPr>
            <w:r>
              <w:rPr>
                <w:rFonts w:hint="eastAsia" w:hAnsi="宋体"/>
                <w:color w:val="auto"/>
                <w:sz w:val="24"/>
                <w:szCs w:val="24"/>
                <w:highlight w:val="none"/>
              </w:rPr>
              <w:t>营业面积（含厂房面积）</w:t>
            </w:r>
          </w:p>
        </w:tc>
        <w:tc>
          <w:tcPr>
            <w:tcW w:w="2552" w:type="dxa"/>
            <w:tcBorders>
              <w:top w:val="single" w:color="000000" w:sz="6" w:space="0"/>
              <w:left w:val="single" w:color="000000" w:sz="6" w:space="0"/>
              <w:bottom w:val="single" w:color="000000" w:sz="6" w:space="0"/>
              <w:right w:val="single" w:color="000000" w:sz="6" w:space="0"/>
            </w:tcBorders>
            <w:vAlign w:val="center"/>
          </w:tcPr>
          <w:p w14:paraId="0E21AB39">
            <w:pPr>
              <w:jc w:val="center"/>
              <w:rPr>
                <w:rFonts w:hAnsi="宋体"/>
                <w:color w:val="auto"/>
                <w:sz w:val="24"/>
                <w:szCs w:val="24"/>
                <w:highlight w:val="none"/>
              </w:rPr>
            </w:pPr>
            <w:r>
              <w:rPr>
                <w:rFonts w:hint="eastAsia" w:hAnsi="宋体"/>
                <w:color w:val="auto"/>
                <w:sz w:val="24"/>
                <w:szCs w:val="24"/>
                <w:highlight w:val="none"/>
              </w:rPr>
              <w:t>平方米</w:t>
            </w:r>
          </w:p>
        </w:tc>
        <w:tc>
          <w:tcPr>
            <w:tcW w:w="1417" w:type="dxa"/>
            <w:tcBorders>
              <w:top w:val="single" w:color="000000" w:sz="6" w:space="0"/>
              <w:left w:val="single" w:color="000000" w:sz="6" w:space="0"/>
              <w:bottom w:val="single" w:color="000000" w:sz="6" w:space="0"/>
              <w:right w:val="single" w:color="000000" w:sz="6" w:space="0"/>
            </w:tcBorders>
            <w:vAlign w:val="center"/>
          </w:tcPr>
          <w:p w14:paraId="2A7E2FEC">
            <w:pPr>
              <w:jc w:val="center"/>
              <w:rPr>
                <w:rFonts w:hAnsi="宋体"/>
                <w:color w:val="auto"/>
                <w:sz w:val="24"/>
                <w:szCs w:val="24"/>
                <w:highlight w:val="none"/>
              </w:rPr>
            </w:pPr>
            <w:r>
              <w:rPr>
                <w:rFonts w:hint="eastAsia" w:hAnsi="宋体"/>
                <w:color w:val="auto"/>
                <w:sz w:val="24"/>
                <w:szCs w:val="24"/>
                <w:highlight w:val="none"/>
              </w:rPr>
              <w:t>其中</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4240A753">
            <w:pPr>
              <w:jc w:val="center"/>
              <w:rPr>
                <w:rFonts w:hAnsi="宋体"/>
                <w:color w:val="auto"/>
                <w:sz w:val="24"/>
                <w:szCs w:val="24"/>
                <w:highlight w:val="none"/>
              </w:rPr>
            </w:pPr>
            <w:r>
              <w:rPr>
                <w:rFonts w:hint="eastAsia" w:hAnsi="宋体"/>
                <w:color w:val="auto"/>
                <w:sz w:val="24"/>
                <w:szCs w:val="24"/>
                <w:highlight w:val="none"/>
              </w:rPr>
              <w:t>自有面积平方米</w:t>
            </w:r>
          </w:p>
          <w:p w14:paraId="5A02D92E">
            <w:pPr>
              <w:jc w:val="center"/>
              <w:rPr>
                <w:rFonts w:hAnsi="宋体"/>
                <w:color w:val="auto"/>
                <w:sz w:val="24"/>
                <w:szCs w:val="24"/>
                <w:highlight w:val="none"/>
              </w:rPr>
            </w:pPr>
            <w:r>
              <w:rPr>
                <w:rFonts w:hint="eastAsia" w:hAnsi="宋体"/>
                <w:color w:val="auto"/>
                <w:sz w:val="24"/>
                <w:szCs w:val="24"/>
                <w:highlight w:val="none"/>
              </w:rPr>
              <w:t>承租面积平方米</w:t>
            </w:r>
          </w:p>
        </w:tc>
      </w:tr>
      <w:tr w14:paraId="0E3F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B08840C">
            <w:pPr>
              <w:jc w:val="center"/>
              <w:rPr>
                <w:rFonts w:hAnsi="宋体"/>
                <w:color w:val="auto"/>
                <w:sz w:val="24"/>
                <w:szCs w:val="24"/>
                <w:highlight w:val="none"/>
              </w:rPr>
            </w:pPr>
            <w:r>
              <w:rPr>
                <w:rFonts w:hint="eastAsia" w:hAnsi="宋体"/>
                <w:color w:val="auto"/>
                <w:sz w:val="24"/>
                <w:szCs w:val="24"/>
                <w:highlight w:val="none"/>
              </w:rPr>
              <w:t>单位简历及内设机构情况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2A2DD298">
            <w:pPr>
              <w:jc w:val="center"/>
              <w:rPr>
                <w:rFonts w:hAnsi="宋体"/>
                <w:color w:val="auto"/>
                <w:sz w:val="24"/>
                <w:szCs w:val="24"/>
                <w:highlight w:val="none"/>
              </w:rPr>
            </w:pPr>
          </w:p>
        </w:tc>
      </w:tr>
      <w:tr w14:paraId="1086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4CD9D0B">
            <w:pPr>
              <w:jc w:val="center"/>
              <w:rPr>
                <w:rFonts w:hAnsi="宋体"/>
                <w:color w:val="auto"/>
                <w:sz w:val="24"/>
                <w:szCs w:val="24"/>
                <w:highlight w:val="none"/>
              </w:rPr>
            </w:pPr>
            <w:r>
              <w:rPr>
                <w:rFonts w:hint="eastAsia" w:hAnsi="宋体"/>
                <w:color w:val="auto"/>
                <w:sz w:val="24"/>
                <w:szCs w:val="24"/>
                <w:highlight w:val="none"/>
              </w:rPr>
              <w:t>单位优势及特长</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13FDB5E">
            <w:pPr>
              <w:jc w:val="center"/>
              <w:rPr>
                <w:rFonts w:hAnsi="宋体"/>
                <w:color w:val="auto"/>
                <w:sz w:val="24"/>
                <w:szCs w:val="24"/>
                <w:highlight w:val="none"/>
              </w:rPr>
            </w:pPr>
          </w:p>
        </w:tc>
      </w:tr>
      <w:tr w14:paraId="20FB5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29437FCE">
            <w:pPr>
              <w:jc w:val="center"/>
              <w:rPr>
                <w:rFonts w:hAnsi="宋体"/>
                <w:color w:val="auto"/>
                <w:sz w:val="24"/>
                <w:szCs w:val="24"/>
                <w:highlight w:val="none"/>
              </w:rPr>
            </w:pPr>
            <w:r>
              <w:rPr>
                <w:rFonts w:hint="eastAsia" w:hAnsi="宋体"/>
                <w:color w:val="auto"/>
                <w:sz w:val="24"/>
                <w:szCs w:val="24"/>
                <w:highlight w:val="none"/>
              </w:rPr>
              <w:t>近两年来完成或正在履行的重大合同情况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DA2EB1C">
            <w:pPr>
              <w:jc w:val="center"/>
              <w:rPr>
                <w:rFonts w:hAnsi="宋体"/>
                <w:color w:val="auto"/>
                <w:sz w:val="24"/>
                <w:szCs w:val="24"/>
                <w:highlight w:val="none"/>
              </w:rPr>
            </w:pPr>
          </w:p>
        </w:tc>
      </w:tr>
      <w:tr w14:paraId="4A7A5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18B40D67">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2</w:t>
            </w:r>
            <w:r>
              <w:rPr>
                <w:rFonts w:hint="eastAsia" w:hAnsi="宋体"/>
                <w:color w:val="auto"/>
                <w:sz w:val="24"/>
                <w:szCs w:val="24"/>
                <w:highlight w:val="none"/>
              </w:rPr>
              <w:t>年内在经营过程中受到何种奖励或处分（包括情况和结果）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54BE0035">
            <w:pPr>
              <w:jc w:val="center"/>
              <w:rPr>
                <w:rFonts w:hAnsi="宋体"/>
                <w:color w:val="auto"/>
                <w:sz w:val="24"/>
                <w:szCs w:val="24"/>
                <w:highlight w:val="none"/>
              </w:rPr>
            </w:pPr>
          </w:p>
        </w:tc>
      </w:tr>
      <w:tr w14:paraId="77BEB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6584D12C">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年内有无因售假、售劣或是其他原因被消费者投诉或起诉的情况及说明（包括解决方式和结果）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68797627">
            <w:pPr>
              <w:jc w:val="center"/>
              <w:rPr>
                <w:rFonts w:hAnsi="宋体"/>
                <w:color w:val="auto"/>
                <w:sz w:val="24"/>
                <w:szCs w:val="24"/>
                <w:highlight w:val="none"/>
              </w:rPr>
            </w:pPr>
          </w:p>
        </w:tc>
      </w:tr>
      <w:tr w14:paraId="4C41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7729DD5E">
            <w:pPr>
              <w:jc w:val="center"/>
              <w:rPr>
                <w:rFonts w:hAnsi="宋体"/>
                <w:color w:val="auto"/>
                <w:sz w:val="24"/>
                <w:szCs w:val="24"/>
                <w:highlight w:val="none"/>
              </w:rPr>
            </w:pPr>
            <w:r>
              <w:rPr>
                <w:rFonts w:hint="eastAsia" w:hAnsi="宋体"/>
                <w:color w:val="auto"/>
                <w:sz w:val="24"/>
                <w:szCs w:val="24"/>
                <w:highlight w:val="none"/>
              </w:rPr>
              <w:t>最近</w:t>
            </w:r>
            <w:r>
              <w:rPr>
                <w:rFonts w:hAnsi="宋体"/>
                <w:color w:val="auto"/>
                <w:sz w:val="24"/>
                <w:szCs w:val="24"/>
                <w:highlight w:val="none"/>
              </w:rPr>
              <w:t>3</w:t>
            </w:r>
            <w:r>
              <w:rPr>
                <w:rFonts w:hint="eastAsia" w:hAnsi="宋体"/>
                <w:color w:val="auto"/>
                <w:sz w:val="24"/>
                <w:szCs w:val="24"/>
                <w:highlight w:val="none"/>
              </w:rPr>
              <w:t>年内主要负责人有无因经济犯罪被司法机关追究的情况及说明</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0B4E9F84">
            <w:pPr>
              <w:jc w:val="center"/>
              <w:rPr>
                <w:rFonts w:hAnsi="宋体"/>
                <w:color w:val="auto"/>
                <w:sz w:val="24"/>
                <w:szCs w:val="24"/>
                <w:highlight w:val="none"/>
              </w:rPr>
            </w:pPr>
          </w:p>
        </w:tc>
      </w:tr>
      <w:tr w14:paraId="6DBA7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38FC62A1">
            <w:pPr>
              <w:jc w:val="center"/>
              <w:rPr>
                <w:rFonts w:hAnsi="宋体"/>
                <w:color w:val="auto"/>
                <w:sz w:val="24"/>
                <w:szCs w:val="24"/>
                <w:highlight w:val="none"/>
              </w:rPr>
            </w:pPr>
            <w:r>
              <w:rPr>
                <w:rFonts w:hint="eastAsia" w:hAnsi="宋体"/>
                <w:color w:val="auto"/>
                <w:sz w:val="24"/>
                <w:szCs w:val="24"/>
                <w:highlight w:val="none"/>
              </w:rPr>
              <w:t>获得资格认证的负责人及简介</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4D06D95F">
            <w:pPr>
              <w:jc w:val="center"/>
              <w:rPr>
                <w:rFonts w:hAnsi="宋体"/>
                <w:color w:val="auto"/>
                <w:sz w:val="24"/>
                <w:szCs w:val="24"/>
                <w:highlight w:val="none"/>
              </w:rPr>
            </w:pPr>
          </w:p>
        </w:tc>
      </w:tr>
      <w:tr w14:paraId="26D45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2268" w:type="dxa"/>
            <w:tcBorders>
              <w:top w:val="single" w:color="000000" w:sz="6" w:space="0"/>
              <w:left w:val="single" w:color="000000" w:sz="6" w:space="0"/>
              <w:bottom w:val="single" w:color="000000" w:sz="6" w:space="0"/>
              <w:right w:val="single" w:color="000000" w:sz="6" w:space="0"/>
            </w:tcBorders>
            <w:vAlign w:val="center"/>
          </w:tcPr>
          <w:p w14:paraId="49847A9D">
            <w:pPr>
              <w:jc w:val="center"/>
              <w:rPr>
                <w:rFonts w:hAnsi="宋体"/>
                <w:color w:val="auto"/>
                <w:sz w:val="24"/>
                <w:szCs w:val="24"/>
                <w:highlight w:val="none"/>
              </w:rPr>
            </w:pPr>
            <w:r>
              <w:rPr>
                <w:rFonts w:hint="eastAsia" w:hAnsi="宋体"/>
                <w:color w:val="auto"/>
                <w:sz w:val="24"/>
                <w:szCs w:val="24"/>
                <w:highlight w:val="none"/>
              </w:rPr>
              <w:t>其他需要说明的情况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1D988DC9">
            <w:pPr>
              <w:jc w:val="center"/>
              <w:rPr>
                <w:rFonts w:hAnsi="宋体"/>
                <w:color w:val="auto"/>
                <w:sz w:val="24"/>
                <w:szCs w:val="24"/>
                <w:highlight w:val="none"/>
              </w:rPr>
            </w:pPr>
          </w:p>
        </w:tc>
      </w:tr>
    </w:tbl>
    <w:p w14:paraId="5AAD26D8">
      <w:pPr>
        <w:spacing w:line="360" w:lineRule="auto"/>
        <w:rPr>
          <w:rFonts w:hAnsi="宋体"/>
          <w:color w:val="auto"/>
          <w:sz w:val="24"/>
          <w:szCs w:val="24"/>
          <w:highlight w:val="none"/>
        </w:rPr>
      </w:pPr>
      <w:r>
        <w:rPr>
          <w:rFonts w:hAnsi="宋体"/>
          <w:color w:val="auto"/>
          <w:sz w:val="24"/>
          <w:szCs w:val="24"/>
          <w:highlight w:val="none"/>
        </w:rPr>
        <w:br w:type="page" w:clear="all"/>
      </w:r>
    </w:p>
    <w:p w14:paraId="62A4D1FA">
      <w:pPr>
        <w:pStyle w:val="3"/>
        <w:spacing w:line="360" w:lineRule="auto"/>
        <w:ind w:left="0"/>
        <w:rPr>
          <w:rFonts w:hAnsi="宋体"/>
          <w:bCs w:val="0"/>
          <w:color w:val="auto"/>
          <w:sz w:val="24"/>
          <w:szCs w:val="24"/>
          <w:highlight w:val="none"/>
        </w:rPr>
      </w:pPr>
      <w:bookmarkStart w:id="38" w:name="_Hlk150944067"/>
      <w:bookmarkEnd w:id="38"/>
      <w:r>
        <w:rPr>
          <w:rFonts w:hAnsi="宋体"/>
          <w:bCs w:val="0"/>
          <w:color w:val="auto"/>
          <w:sz w:val="24"/>
          <w:szCs w:val="24"/>
          <w:highlight w:val="none"/>
        </w:rPr>
        <w:t>8</w:t>
      </w:r>
      <w:r>
        <w:rPr>
          <w:rFonts w:hint="eastAsia" w:hAnsi="宋体"/>
          <w:bCs w:val="0"/>
          <w:color w:val="auto"/>
          <w:sz w:val="24"/>
          <w:szCs w:val="24"/>
          <w:highlight w:val="none"/>
        </w:rPr>
        <w:t>、服务要求偏离表</w:t>
      </w:r>
    </w:p>
    <w:p w14:paraId="4B67438E">
      <w:pPr>
        <w:pStyle w:val="16"/>
        <w:spacing w:before="0" w:line="360" w:lineRule="auto"/>
        <w:ind w:left="0"/>
        <w:jc w:val="both"/>
        <w:rPr>
          <w:rFonts w:hAnsi="宋体"/>
          <w:color w:val="auto"/>
          <w:sz w:val="24"/>
          <w:szCs w:val="24"/>
          <w:highlight w:val="none"/>
        </w:rPr>
      </w:pPr>
    </w:p>
    <w:p w14:paraId="74822B4B">
      <w:pPr>
        <w:spacing w:line="360" w:lineRule="auto"/>
        <w:jc w:val="center"/>
        <w:rPr>
          <w:rFonts w:hAnsi="宋体"/>
          <w:color w:val="auto"/>
          <w:sz w:val="24"/>
          <w:szCs w:val="24"/>
          <w:highlight w:val="none"/>
        </w:rPr>
      </w:pPr>
      <w:bookmarkStart w:id="39" w:name="OLE_LINK25"/>
      <w:r>
        <w:rPr>
          <w:rFonts w:hint="eastAsia" w:hAnsi="宋体"/>
          <w:color w:val="auto"/>
          <w:sz w:val="24"/>
          <w:szCs w:val="24"/>
          <w:highlight w:val="none"/>
        </w:rPr>
        <w:t>服务（技术）要求偏离表</w:t>
      </w:r>
    </w:p>
    <w:tbl>
      <w:tblPr>
        <w:tblStyle w:val="42"/>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5C2EC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E6CD92E">
            <w:pPr>
              <w:jc w:val="center"/>
              <w:rPr>
                <w:rFonts w:hAnsi="宋体"/>
                <w:color w:val="auto"/>
                <w:sz w:val="24"/>
                <w:szCs w:val="24"/>
                <w:highlight w:val="none"/>
              </w:rPr>
            </w:pPr>
            <w:r>
              <w:rPr>
                <w:rFonts w:hint="eastAsia" w:hAnsi="宋体"/>
                <w:color w:val="auto"/>
                <w:sz w:val="24"/>
                <w:szCs w:val="24"/>
                <w:highlight w:val="none"/>
              </w:rPr>
              <w:t>序号</w:t>
            </w:r>
          </w:p>
        </w:tc>
        <w:tc>
          <w:tcPr>
            <w:tcW w:w="2010" w:type="dxa"/>
            <w:tcBorders>
              <w:top w:val="single" w:color="000000" w:sz="4" w:space="0"/>
              <w:left w:val="single" w:color="000000" w:sz="4" w:space="0"/>
              <w:bottom w:val="single" w:color="000000" w:sz="4" w:space="0"/>
              <w:right w:val="single" w:color="000000" w:sz="4" w:space="0"/>
            </w:tcBorders>
            <w:vAlign w:val="center"/>
          </w:tcPr>
          <w:p w14:paraId="5B8EDA85">
            <w:pPr>
              <w:jc w:val="center"/>
              <w:rPr>
                <w:rFonts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2F07A044">
            <w:pPr>
              <w:jc w:val="center"/>
              <w:rPr>
                <w:rFonts w:hAnsi="宋体"/>
                <w:color w:val="auto"/>
                <w:sz w:val="24"/>
                <w:szCs w:val="24"/>
                <w:highlight w:val="none"/>
              </w:rPr>
            </w:pPr>
            <w:r>
              <w:rPr>
                <w:rFonts w:hint="eastAsia" w:hAnsi="宋体"/>
                <w:color w:val="auto"/>
                <w:sz w:val="24"/>
                <w:szCs w:val="24"/>
                <w:highlight w:val="none"/>
              </w:rPr>
              <w:t>招标文件</w:t>
            </w:r>
          </w:p>
          <w:p w14:paraId="07B06691">
            <w:pPr>
              <w:jc w:val="center"/>
              <w:rPr>
                <w:rFonts w:hAnsi="宋体"/>
                <w:color w:val="auto"/>
                <w:sz w:val="24"/>
                <w:szCs w:val="24"/>
                <w:highlight w:val="none"/>
              </w:rPr>
            </w:pPr>
            <w:r>
              <w:rPr>
                <w:rFonts w:hint="eastAsia" w:hAnsi="宋体"/>
                <w:color w:val="auto"/>
                <w:sz w:val="24"/>
                <w:szCs w:val="24"/>
                <w:highlight w:val="none"/>
              </w:rPr>
              <w:t>服务（技术）要求</w:t>
            </w:r>
          </w:p>
        </w:tc>
        <w:tc>
          <w:tcPr>
            <w:tcW w:w="1843" w:type="dxa"/>
            <w:tcBorders>
              <w:top w:val="single" w:color="000000" w:sz="4" w:space="0"/>
              <w:left w:val="single" w:color="000000" w:sz="4" w:space="0"/>
              <w:bottom w:val="single" w:color="000000" w:sz="4" w:space="0"/>
              <w:right w:val="single" w:color="000000" w:sz="4" w:space="0"/>
            </w:tcBorders>
            <w:vAlign w:val="center"/>
          </w:tcPr>
          <w:p w14:paraId="0AE20937">
            <w:pPr>
              <w:jc w:val="center"/>
              <w:rPr>
                <w:rFonts w:hAnsi="宋体"/>
                <w:color w:val="auto"/>
                <w:sz w:val="24"/>
                <w:szCs w:val="24"/>
                <w:highlight w:val="none"/>
              </w:rPr>
            </w:pPr>
            <w:r>
              <w:rPr>
                <w:rFonts w:hint="eastAsia" w:hAnsi="宋体"/>
                <w:color w:val="auto"/>
                <w:sz w:val="24"/>
                <w:szCs w:val="24"/>
                <w:highlight w:val="none"/>
              </w:rPr>
              <w:t>投标文件</w:t>
            </w:r>
          </w:p>
          <w:p w14:paraId="03DCF680">
            <w:pPr>
              <w:jc w:val="center"/>
              <w:rPr>
                <w:rFonts w:hAnsi="宋体"/>
                <w:color w:val="auto"/>
                <w:sz w:val="24"/>
                <w:szCs w:val="24"/>
                <w:highlight w:val="none"/>
              </w:rPr>
            </w:pPr>
            <w:r>
              <w:rPr>
                <w:rFonts w:hint="eastAsia" w:hAnsi="宋体"/>
                <w:color w:val="auto"/>
                <w:sz w:val="24"/>
                <w:szCs w:val="24"/>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vAlign w:val="center"/>
          </w:tcPr>
          <w:p w14:paraId="360D5433">
            <w:pPr>
              <w:jc w:val="center"/>
              <w:rPr>
                <w:rFonts w:hAnsi="宋体"/>
                <w:color w:val="auto"/>
                <w:sz w:val="24"/>
                <w:szCs w:val="24"/>
                <w:highlight w:val="none"/>
              </w:rPr>
            </w:pPr>
            <w:r>
              <w:rPr>
                <w:rFonts w:hint="eastAsia" w:hAnsi="宋体"/>
                <w:color w:val="auto"/>
                <w:sz w:val="24"/>
                <w:szCs w:val="24"/>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vAlign w:val="center"/>
          </w:tcPr>
          <w:p w14:paraId="1CB2C2B7">
            <w:pPr>
              <w:jc w:val="center"/>
              <w:rPr>
                <w:rFonts w:hAnsi="宋体"/>
                <w:color w:val="auto"/>
                <w:sz w:val="24"/>
                <w:szCs w:val="24"/>
                <w:highlight w:val="none"/>
              </w:rPr>
            </w:pPr>
            <w:r>
              <w:rPr>
                <w:rFonts w:hint="eastAsia" w:hAnsi="宋体"/>
                <w:color w:val="auto"/>
                <w:sz w:val="24"/>
                <w:szCs w:val="24"/>
                <w:highlight w:val="none"/>
              </w:rPr>
              <w:t>说明</w:t>
            </w:r>
          </w:p>
        </w:tc>
      </w:tr>
      <w:tr w14:paraId="34325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63ABE1D">
            <w:pPr>
              <w:jc w:val="center"/>
              <w:rPr>
                <w:rFonts w:hAnsi="宋体"/>
                <w:color w:val="auto"/>
                <w:sz w:val="24"/>
                <w:szCs w:val="24"/>
                <w:highlight w:val="none"/>
              </w:rPr>
            </w:pPr>
            <w:r>
              <w:rPr>
                <w:rFonts w:hAnsi="宋体"/>
                <w:color w:val="auto"/>
                <w:sz w:val="24"/>
                <w:szCs w:val="24"/>
                <w:highlight w:val="none"/>
              </w:rPr>
              <w:t>1</w:t>
            </w:r>
          </w:p>
        </w:tc>
        <w:tc>
          <w:tcPr>
            <w:tcW w:w="2010" w:type="dxa"/>
            <w:tcBorders>
              <w:top w:val="single" w:color="000000" w:sz="4" w:space="0"/>
              <w:left w:val="single" w:color="000000" w:sz="4" w:space="0"/>
              <w:bottom w:val="single" w:color="000000" w:sz="4" w:space="0"/>
              <w:right w:val="single" w:color="000000" w:sz="4" w:space="0"/>
            </w:tcBorders>
            <w:vAlign w:val="center"/>
          </w:tcPr>
          <w:p w14:paraId="096B336F">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3225619">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0F372D79">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FE52792">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BAB5B7A">
            <w:pPr>
              <w:jc w:val="center"/>
              <w:rPr>
                <w:rFonts w:hAnsi="宋体"/>
                <w:color w:val="auto"/>
                <w:sz w:val="24"/>
                <w:szCs w:val="24"/>
                <w:highlight w:val="none"/>
              </w:rPr>
            </w:pPr>
          </w:p>
        </w:tc>
      </w:tr>
      <w:tr w14:paraId="4C965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231330C">
            <w:pPr>
              <w:jc w:val="center"/>
              <w:rPr>
                <w:rFonts w:hAnsi="宋体"/>
                <w:color w:val="auto"/>
                <w:sz w:val="24"/>
                <w:szCs w:val="24"/>
                <w:highlight w:val="none"/>
              </w:rPr>
            </w:pPr>
            <w:r>
              <w:rPr>
                <w:rFonts w:hAnsi="宋体"/>
                <w:color w:val="auto"/>
                <w:sz w:val="24"/>
                <w:szCs w:val="24"/>
                <w:highlight w:val="none"/>
              </w:rPr>
              <w:t>2</w:t>
            </w:r>
          </w:p>
        </w:tc>
        <w:tc>
          <w:tcPr>
            <w:tcW w:w="2010" w:type="dxa"/>
            <w:tcBorders>
              <w:top w:val="single" w:color="000000" w:sz="4" w:space="0"/>
              <w:left w:val="single" w:color="000000" w:sz="4" w:space="0"/>
              <w:bottom w:val="single" w:color="000000" w:sz="4" w:space="0"/>
              <w:right w:val="single" w:color="000000" w:sz="4" w:space="0"/>
            </w:tcBorders>
            <w:vAlign w:val="center"/>
          </w:tcPr>
          <w:p w14:paraId="481622FE">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7C02F26">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0CCC0170">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DEC227B">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8DBAD90">
            <w:pPr>
              <w:jc w:val="center"/>
              <w:rPr>
                <w:rFonts w:hAnsi="宋体"/>
                <w:color w:val="auto"/>
                <w:sz w:val="24"/>
                <w:szCs w:val="24"/>
                <w:highlight w:val="none"/>
              </w:rPr>
            </w:pPr>
          </w:p>
        </w:tc>
      </w:tr>
      <w:tr w14:paraId="6E321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27AFCD9">
            <w:pPr>
              <w:jc w:val="center"/>
              <w:rPr>
                <w:rFonts w:hAnsi="宋体"/>
                <w:color w:val="auto"/>
                <w:sz w:val="24"/>
                <w:szCs w:val="24"/>
                <w:highlight w:val="none"/>
              </w:rPr>
            </w:pPr>
            <w:r>
              <w:rPr>
                <w:rFonts w:hAnsi="宋体"/>
                <w:color w:val="auto"/>
                <w:sz w:val="24"/>
                <w:szCs w:val="24"/>
                <w:highlight w:val="none"/>
              </w:rPr>
              <w:t>3</w:t>
            </w:r>
          </w:p>
        </w:tc>
        <w:tc>
          <w:tcPr>
            <w:tcW w:w="2010" w:type="dxa"/>
            <w:tcBorders>
              <w:top w:val="single" w:color="000000" w:sz="4" w:space="0"/>
              <w:left w:val="single" w:color="000000" w:sz="4" w:space="0"/>
              <w:bottom w:val="single" w:color="000000" w:sz="4" w:space="0"/>
              <w:right w:val="single" w:color="000000" w:sz="4" w:space="0"/>
            </w:tcBorders>
            <w:vAlign w:val="center"/>
          </w:tcPr>
          <w:p w14:paraId="61328678">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43C9534">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682CE0A">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9AA1815">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84A4573">
            <w:pPr>
              <w:jc w:val="center"/>
              <w:rPr>
                <w:rFonts w:hAnsi="宋体"/>
                <w:color w:val="auto"/>
                <w:sz w:val="24"/>
                <w:szCs w:val="24"/>
                <w:highlight w:val="none"/>
              </w:rPr>
            </w:pPr>
          </w:p>
        </w:tc>
      </w:tr>
      <w:tr w14:paraId="7EEF2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915EF16">
            <w:pPr>
              <w:jc w:val="center"/>
              <w:rPr>
                <w:rFonts w:hAnsi="宋体"/>
                <w:color w:val="auto"/>
                <w:sz w:val="24"/>
                <w:szCs w:val="24"/>
                <w:highlight w:val="none"/>
              </w:rPr>
            </w:pPr>
            <w:r>
              <w:rPr>
                <w:rFonts w:hAnsi="宋体"/>
                <w:color w:val="auto"/>
                <w:sz w:val="24"/>
                <w:szCs w:val="24"/>
                <w:highlight w:val="none"/>
              </w:rPr>
              <w:t>4</w:t>
            </w:r>
          </w:p>
        </w:tc>
        <w:tc>
          <w:tcPr>
            <w:tcW w:w="2010" w:type="dxa"/>
            <w:tcBorders>
              <w:top w:val="single" w:color="000000" w:sz="4" w:space="0"/>
              <w:left w:val="single" w:color="000000" w:sz="4" w:space="0"/>
              <w:bottom w:val="single" w:color="000000" w:sz="4" w:space="0"/>
              <w:right w:val="single" w:color="000000" w:sz="4" w:space="0"/>
            </w:tcBorders>
            <w:vAlign w:val="center"/>
          </w:tcPr>
          <w:p w14:paraId="5229F32E">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800234D">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BDE6CAC">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C62175F">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41C6530">
            <w:pPr>
              <w:jc w:val="center"/>
              <w:rPr>
                <w:rFonts w:hAnsi="宋体"/>
                <w:color w:val="auto"/>
                <w:sz w:val="24"/>
                <w:szCs w:val="24"/>
                <w:highlight w:val="none"/>
              </w:rPr>
            </w:pPr>
          </w:p>
        </w:tc>
      </w:tr>
      <w:tr w14:paraId="0EC98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FF6AE14">
            <w:pPr>
              <w:jc w:val="center"/>
              <w:rPr>
                <w:rFonts w:hAnsi="宋体"/>
                <w:color w:val="auto"/>
                <w:sz w:val="24"/>
                <w:szCs w:val="24"/>
                <w:highlight w:val="none"/>
              </w:rPr>
            </w:pPr>
            <w:r>
              <w:rPr>
                <w:rFonts w:hAnsi="宋体"/>
                <w:color w:val="auto"/>
                <w:sz w:val="24"/>
                <w:szCs w:val="24"/>
                <w:highlight w:val="none"/>
              </w:rPr>
              <w:t>5</w:t>
            </w:r>
          </w:p>
        </w:tc>
        <w:tc>
          <w:tcPr>
            <w:tcW w:w="2010" w:type="dxa"/>
            <w:tcBorders>
              <w:top w:val="single" w:color="000000" w:sz="4" w:space="0"/>
              <w:left w:val="single" w:color="000000" w:sz="4" w:space="0"/>
              <w:bottom w:val="single" w:color="000000" w:sz="4" w:space="0"/>
              <w:right w:val="single" w:color="000000" w:sz="4" w:space="0"/>
            </w:tcBorders>
            <w:vAlign w:val="center"/>
          </w:tcPr>
          <w:p w14:paraId="20544370">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5D277A3">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3FC8524">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93A45B6">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CABDECC">
            <w:pPr>
              <w:jc w:val="center"/>
              <w:rPr>
                <w:rFonts w:hAnsi="宋体"/>
                <w:color w:val="auto"/>
                <w:sz w:val="24"/>
                <w:szCs w:val="24"/>
                <w:highlight w:val="none"/>
              </w:rPr>
            </w:pPr>
          </w:p>
        </w:tc>
      </w:tr>
      <w:tr w14:paraId="1D45E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9A4999A">
            <w:pPr>
              <w:jc w:val="center"/>
              <w:rPr>
                <w:rFonts w:hAnsi="宋体"/>
                <w:color w:val="auto"/>
                <w:sz w:val="24"/>
                <w:szCs w:val="24"/>
                <w:highlight w:val="none"/>
              </w:rPr>
            </w:pPr>
            <w:r>
              <w:rPr>
                <w:rFonts w:hAnsi="宋体"/>
                <w:color w:val="auto"/>
                <w:sz w:val="24"/>
                <w:szCs w:val="24"/>
                <w:highlight w:val="none"/>
              </w:rPr>
              <w:t>6</w:t>
            </w:r>
          </w:p>
        </w:tc>
        <w:tc>
          <w:tcPr>
            <w:tcW w:w="2010" w:type="dxa"/>
            <w:tcBorders>
              <w:top w:val="single" w:color="000000" w:sz="4" w:space="0"/>
              <w:left w:val="single" w:color="000000" w:sz="4" w:space="0"/>
              <w:bottom w:val="single" w:color="000000" w:sz="4" w:space="0"/>
              <w:right w:val="single" w:color="000000" w:sz="4" w:space="0"/>
            </w:tcBorders>
            <w:vAlign w:val="center"/>
          </w:tcPr>
          <w:p w14:paraId="1A700EFD">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C87873E">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FC7E9C8">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3CC49E2">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0ECC83F">
            <w:pPr>
              <w:jc w:val="center"/>
              <w:rPr>
                <w:rFonts w:hAnsi="宋体"/>
                <w:color w:val="auto"/>
                <w:sz w:val="24"/>
                <w:szCs w:val="24"/>
                <w:highlight w:val="none"/>
              </w:rPr>
            </w:pPr>
          </w:p>
        </w:tc>
      </w:tr>
      <w:tr w14:paraId="309C4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7F2DDD3">
            <w:pPr>
              <w:jc w:val="center"/>
              <w:rPr>
                <w:rFonts w:hAnsi="宋体"/>
                <w:color w:val="auto"/>
                <w:sz w:val="24"/>
                <w:szCs w:val="24"/>
                <w:highlight w:val="none"/>
              </w:rPr>
            </w:pPr>
            <w:r>
              <w:rPr>
                <w:rFonts w:hAnsi="宋体"/>
                <w:color w:val="auto"/>
                <w:sz w:val="24"/>
                <w:szCs w:val="24"/>
                <w:highlight w:val="none"/>
              </w:rPr>
              <w:t>7</w:t>
            </w:r>
          </w:p>
        </w:tc>
        <w:tc>
          <w:tcPr>
            <w:tcW w:w="2010" w:type="dxa"/>
            <w:tcBorders>
              <w:top w:val="single" w:color="000000" w:sz="4" w:space="0"/>
              <w:left w:val="single" w:color="000000" w:sz="4" w:space="0"/>
              <w:bottom w:val="single" w:color="000000" w:sz="4" w:space="0"/>
              <w:right w:val="single" w:color="000000" w:sz="4" w:space="0"/>
            </w:tcBorders>
            <w:vAlign w:val="center"/>
          </w:tcPr>
          <w:p w14:paraId="6DE6D8DC">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9BB9AD3">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F3A2956">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872F9F5">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4F3E7F8">
            <w:pPr>
              <w:jc w:val="center"/>
              <w:rPr>
                <w:rFonts w:hAnsi="宋体"/>
                <w:color w:val="auto"/>
                <w:sz w:val="24"/>
                <w:szCs w:val="24"/>
                <w:highlight w:val="none"/>
              </w:rPr>
            </w:pPr>
          </w:p>
        </w:tc>
      </w:tr>
      <w:tr w14:paraId="665EC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E90B388">
            <w:pPr>
              <w:jc w:val="center"/>
              <w:rPr>
                <w:rFonts w:hAnsi="宋体"/>
                <w:color w:val="auto"/>
                <w:sz w:val="24"/>
                <w:szCs w:val="24"/>
                <w:highlight w:val="none"/>
              </w:rPr>
            </w:pPr>
            <w:r>
              <w:rPr>
                <w:rFonts w:hAnsi="宋体"/>
                <w:color w:val="auto"/>
                <w:sz w:val="24"/>
                <w:szCs w:val="24"/>
                <w:highlight w:val="none"/>
              </w:rPr>
              <w:t>8</w:t>
            </w:r>
          </w:p>
        </w:tc>
        <w:tc>
          <w:tcPr>
            <w:tcW w:w="2010" w:type="dxa"/>
            <w:tcBorders>
              <w:top w:val="single" w:color="000000" w:sz="4" w:space="0"/>
              <w:left w:val="single" w:color="000000" w:sz="4" w:space="0"/>
              <w:bottom w:val="single" w:color="000000" w:sz="4" w:space="0"/>
              <w:right w:val="single" w:color="000000" w:sz="4" w:space="0"/>
            </w:tcBorders>
            <w:vAlign w:val="center"/>
          </w:tcPr>
          <w:p w14:paraId="237086C9">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1BEA10A">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03A1AFA">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E7FCD76">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615290F">
            <w:pPr>
              <w:jc w:val="center"/>
              <w:rPr>
                <w:rFonts w:hAnsi="宋体"/>
                <w:color w:val="auto"/>
                <w:sz w:val="24"/>
                <w:szCs w:val="24"/>
                <w:highlight w:val="none"/>
              </w:rPr>
            </w:pPr>
          </w:p>
        </w:tc>
      </w:tr>
      <w:tr w14:paraId="47B76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F8540B8">
            <w:pPr>
              <w:jc w:val="center"/>
              <w:rPr>
                <w:rFonts w:hAnsi="宋体"/>
                <w:color w:val="auto"/>
                <w:sz w:val="24"/>
                <w:szCs w:val="24"/>
                <w:highlight w:val="none"/>
              </w:rPr>
            </w:pPr>
            <w:r>
              <w:rPr>
                <w:rFonts w:hAnsi="宋体"/>
                <w:color w:val="auto"/>
                <w:sz w:val="24"/>
                <w:szCs w:val="24"/>
                <w:highlight w:val="none"/>
              </w:rPr>
              <w:t>...</w:t>
            </w:r>
          </w:p>
        </w:tc>
        <w:tc>
          <w:tcPr>
            <w:tcW w:w="2010" w:type="dxa"/>
            <w:tcBorders>
              <w:top w:val="single" w:color="000000" w:sz="4" w:space="0"/>
              <w:left w:val="single" w:color="000000" w:sz="4" w:space="0"/>
              <w:bottom w:val="single" w:color="000000" w:sz="4" w:space="0"/>
              <w:right w:val="single" w:color="000000" w:sz="4" w:space="0"/>
            </w:tcBorders>
            <w:vAlign w:val="center"/>
          </w:tcPr>
          <w:p w14:paraId="58D1B0FA">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681E2D6">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5C05C77">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C7FF882">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14EF45C">
            <w:pPr>
              <w:jc w:val="center"/>
              <w:rPr>
                <w:rFonts w:hAnsi="宋体"/>
                <w:color w:val="auto"/>
                <w:sz w:val="24"/>
                <w:szCs w:val="24"/>
                <w:highlight w:val="none"/>
              </w:rPr>
            </w:pPr>
          </w:p>
        </w:tc>
      </w:tr>
      <w:tr w14:paraId="00736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89AF21D">
            <w:pPr>
              <w:jc w:val="center"/>
              <w:rPr>
                <w:rFonts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084FA2A3">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148B67F">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EBF43DC">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4A688C2">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F53BF3E">
            <w:pPr>
              <w:jc w:val="center"/>
              <w:rPr>
                <w:rFonts w:hAnsi="宋体"/>
                <w:color w:val="auto"/>
                <w:sz w:val="24"/>
                <w:szCs w:val="24"/>
                <w:highlight w:val="none"/>
              </w:rPr>
            </w:pPr>
          </w:p>
        </w:tc>
      </w:tr>
      <w:tr w14:paraId="16F58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FD1EE80">
            <w:pPr>
              <w:jc w:val="center"/>
              <w:rPr>
                <w:rFonts w:hAnsi="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56420B36">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0DB1251">
            <w:pPr>
              <w:jc w:val="center"/>
              <w:rPr>
                <w:rFonts w:hAnsi="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DED7F64">
            <w:pPr>
              <w:jc w:val="center"/>
              <w:rPr>
                <w:rFonts w:hAnsi="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C0021A6">
            <w:pPr>
              <w:jc w:val="center"/>
              <w:rPr>
                <w:rFonts w:hAnsi="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1989D35">
            <w:pPr>
              <w:jc w:val="center"/>
              <w:rPr>
                <w:rFonts w:hAnsi="宋体"/>
                <w:color w:val="auto"/>
                <w:sz w:val="24"/>
                <w:szCs w:val="24"/>
                <w:highlight w:val="none"/>
              </w:rPr>
            </w:pPr>
          </w:p>
        </w:tc>
      </w:tr>
    </w:tbl>
    <w:p w14:paraId="7DBC17EC">
      <w:pPr>
        <w:spacing w:line="360" w:lineRule="auto"/>
        <w:rPr>
          <w:rFonts w:hAnsi="宋体"/>
          <w:color w:val="auto"/>
          <w:sz w:val="24"/>
          <w:szCs w:val="24"/>
          <w:highlight w:val="none"/>
        </w:rPr>
      </w:pPr>
      <w:r>
        <w:rPr>
          <w:rFonts w:hint="eastAsia" w:hAnsi="宋体"/>
          <w:color w:val="auto"/>
          <w:sz w:val="24"/>
          <w:szCs w:val="24"/>
          <w:highlight w:val="none"/>
        </w:rPr>
        <w:t>注：1.投标人应在本表中对照招标文件服务要求与实际投标服务要求逐项对应列出，并在“偏离说明”项下填写以下内容：优于的，填写“正偏离”；符合的，填写“无偏离”；低于的，填写“负偏离”。</w:t>
      </w:r>
    </w:p>
    <w:p w14:paraId="5B67C38B">
      <w:pPr>
        <w:spacing w:line="360" w:lineRule="auto"/>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2A139770">
      <w:pPr>
        <w:pStyle w:val="16"/>
        <w:spacing w:before="0" w:line="360" w:lineRule="auto"/>
        <w:ind w:left="0"/>
        <w:jc w:val="both"/>
        <w:rPr>
          <w:rFonts w:hAnsi="宋体"/>
          <w:color w:val="auto"/>
          <w:sz w:val="24"/>
          <w:szCs w:val="24"/>
          <w:highlight w:val="none"/>
        </w:rPr>
      </w:pPr>
    </w:p>
    <w:p w14:paraId="4DE46711">
      <w:pPr>
        <w:pStyle w:val="16"/>
        <w:spacing w:before="0" w:line="360" w:lineRule="auto"/>
        <w:ind w:left="0"/>
        <w:jc w:val="both"/>
        <w:rPr>
          <w:rFonts w:hAnsi="宋体"/>
          <w:color w:val="auto"/>
          <w:sz w:val="24"/>
          <w:szCs w:val="24"/>
          <w:highlight w:val="none"/>
        </w:rPr>
      </w:pPr>
    </w:p>
    <w:p w14:paraId="209E4EF3">
      <w:pPr>
        <w:spacing w:line="360" w:lineRule="auto"/>
        <w:rPr>
          <w:rFonts w:hAnsi="宋体"/>
          <w:color w:val="auto"/>
          <w:sz w:val="24"/>
          <w:szCs w:val="24"/>
          <w:highlight w:val="none"/>
        </w:rPr>
      </w:pPr>
      <w:r>
        <w:rPr>
          <w:rFonts w:hint="eastAsia" w:hAnsi="宋体"/>
          <w:color w:val="auto"/>
          <w:sz w:val="24"/>
          <w:szCs w:val="24"/>
          <w:highlight w:val="none"/>
        </w:rPr>
        <w:t>投标单位：（公章）</w:t>
      </w:r>
    </w:p>
    <w:p w14:paraId="1E48AEAF">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24E37C70">
      <w:pPr>
        <w:spacing w:line="360" w:lineRule="auto"/>
        <w:rPr>
          <w:rFonts w:hAnsi="宋体"/>
          <w:color w:val="auto"/>
          <w:sz w:val="24"/>
          <w:szCs w:val="24"/>
          <w:highlight w:val="none"/>
        </w:rPr>
      </w:pPr>
      <w:r>
        <w:rPr>
          <w:rFonts w:hint="eastAsia" w:hAnsi="宋体"/>
          <w:color w:val="auto"/>
          <w:sz w:val="24"/>
          <w:szCs w:val="24"/>
          <w:highlight w:val="none"/>
        </w:rPr>
        <w:t>日期：年月日</w:t>
      </w:r>
    </w:p>
    <w:bookmarkEnd w:id="39"/>
    <w:p w14:paraId="4C571DDF">
      <w:pPr>
        <w:pStyle w:val="16"/>
        <w:spacing w:before="0" w:line="360" w:lineRule="auto"/>
        <w:ind w:left="0"/>
        <w:jc w:val="both"/>
        <w:rPr>
          <w:rFonts w:hAnsi="宋体"/>
          <w:color w:val="auto"/>
          <w:sz w:val="24"/>
          <w:szCs w:val="24"/>
          <w:highlight w:val="none"/>
        </w:rPr>
      </w:pPr>
    </w:p>
    <w:p w14:paraId="509E7509">
      <w:pPr>
        <w:pStyle w:val="16"/>
        <w:spacing w:before="0" w:line="360" w:lineRule="auto"/>
        <w:ind w:left="0"/>
        <w:jc w:val="both"/>
        <w:rPr>
          <w:rFonts w:hAnsi="宋体"/>
          <w:color w:val="auto"/>
          <w:sz w:val="24"/>
          <w:szCs w:val="24"/>
          <w:highlight w:val="none"/>
        </w:rPr>
      </w:pPr>
    </w:p>
    <w:p w14:paraId="3ECA0CCD">
      <w:pPr>
        <w:pStyle w:val="3"/>
        <w:spacing w:line="360" w:lineRule="auto"/>
        <w:ind w:left="0"/>
        <w:rPr>
          <w:rFonts w:hAnsi="宋体"/>
          <w:bCs w:val="0"/>
          <w:color w:val="auto"/>
          <w:sz w:val="24"/>
          <w:szCs w:val="24"/>
          <w:highlight w:val="none"/>
        </w:rPr>
      </w:pPr>
      <w:r>
        <w:rPr>
          <w:rFonts w:hint="eastAsia" w:hAnsi="宋体"/>
          <w:bCs w:val="0"/>
          <w:color w:val="auto"/>
          <w:sz w:val="24"/>
          <w:szCs w:val="24"/>
          <w:highlight w:val="none"/>
          <w:lang w:val="en-US" w:eastAsia="zh-CN"/>
        </w:rPr>
        <w:t>9</w:t>
      </w:r>
      <w:r>
        <w:rPr>
          <w:rFonts w:hAnsi="宋体"/>
          <w:bCs w:val="0"/>
          <w:color w:val="auto"/>
          <w:sz w:val="24"/>
          <w:szCs w:val="24"/>
          <w:highlight w:val="none"/>
        </w:rPr>
        <w:t>、商务偏离表</w:t>
      </w:r>
    </w:p>
    <w:p w14:paraId="3A0A623F">
      <w:pPr>
        <w:pStyle w:val="16"/>
        <w:spacing w:before="0" w:line="360" w:lineRule="auto"/>
        <w:ind w:left="0"/>
        <w:jc w:val="both"/>
        <w:rPr>
          <w:rFonts w:hAnsi="宋体"/>
          <w:color w:val="auto"/>
          <w:sz w:val="24"/>
          <w:szCs w:val="24"/>
          <w:highlight w:val="none"/>
        </w:rPr>
      </w:pPr>
    </w:p>
    <w:p w14:paraId="1696CE3B">
      <w:pPr>
        <w:spacing w:line="360" w:lineRule="auto"/>
        <w:jc w:val="center"/>
        <w:rPr>
          <w:rFonts w:hAnsi="宋体"/>
          <w:color w:val="auto"/>
          <w:sz w:val="24"/>
          <w:szCs w:val="24"/>
          <w:highlight w:val="none"/>
        </w:rPr>
      </w:pPr>
      <w:bookmarkStart w:id="40" w:name="OLE_LINK23"/>
      <w:bookmarkStart w:id="41" w:name="OLE_LINK24"/>
      <w:r>
        <w:rPr>
          <w:rFonts w:hint="eastAsia" w:hAnsi="宋体"/>
          <w:color w:val="auto"/>
          <w:sz w:val="24"/>
          <w:szCs w:val="24"/>
          <w:highlight w:val="none"/>
        </w:rPr>
        <w:t>商务条款偏离表</w:t>
      </w:r>
    </w:p>
    <w:tbl>
      <w:tblPr>
        <w:tblStyle w:val="4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084EC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7AF6E4C4">
            <w:pPr>
              <w:jc w:val="center"/>
              <w:rPr>
                <w:rFonts w:hAnsi="宋体"/>
                <w:color w:val="auto"/>
                <w:sz w:val="24"/>
                <w:szCs w:val="24"/>
                <w:highlight w:val="none"/>
              </w:rPr>
            </w:pPr>
            <w:r>
              <w:rPr>
                <w:rFonts w:hint="eastAsia" w:hAnsi="宋体"/>
                <w:color w:val="auto"/>
                <w:sz w:val="24"/>
                <w:szCs w:val="24"/>
                <w:highlight w:val="none"/>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0BE22D39">
            <w:pPr>
              <w:jc w:val="center"/>
              <w:rPr>
                <w:rFonts w:hAnsi="宋体"/>
                <w:color w:val="auto"/>
                <w:sz w:val="24"/>
                <w:szCs w:val="24"/>
                <w:highlight w:val="none"/>
              </w:rPr>
            </w:pPr>
            <w:r>
              <w:rPr>
                <w:rFonts w:hint="eastAsia" w:hAnsi="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3279084B">
            <w:pPr>
              <w:jc w:val="center"/>
              <w:rPr>
                <w:rFonts w:hAnsi="宋体"/>
                <w:color w:val="auto"/>
                <w:sz w:val="24"/>
                <w:szCs w:val="24"/>
                <w:highlight w:val="none"/>
              </w:rPr>
            </w:pPr>
            <w:r>
              <w:rPr>
                <w:rFonts w:hint="eastAsia" w:hAnsi="宋体"/>
                <w:color w:val="auto"/>
                <w:sz w:val="24"/>
                <w:szCs w:val="24"/>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61DE22AC">
            <w:pPr>
              <w:jc w:val="center"/>
              <w:rPr>
                <w:rFonts w:hAnsi="宋体"/>
                <w:color w:val="auto"/>
                <w:sz w:val="24"/>
                <w:szCs w:val="24"/>
                <w:highlight w:val="none"/>
              </w:rPr>
            </w:pPr>
            <w:r>
              <w:rPr>
                <w:rFonts w:hint="eastAsia" w:hAnsi="宋体"/>
                <w:color w:val="auto"/>
                <w:sz w:val="24"/>
                <w:szCs w:val="24"/>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4B22D96C">
            <w:pPr>
              <w:jc w:val="center"/>
              <w:rPr>
                <w:rFonts w:hAnsi="宋体"/>
                <w:color w:val="auto"/>
                <w:sz w:val="24"/>
                <w:szCs w:val="24"/>
                <w:highlight w:val="none"/>
              </w:rPr>
            </w:pPr>
            <w:r>
              <w:rPr>
                <w:rFonts w:hint="eastAsia" w:hAnsi="宋体"/>
                <w:color w:val="auto"/>
                <w:sz w:val="24"/>
                <w:szCs w:val="24"/>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231B8FA8">
            <w:pPr>
              <w:jc w:val="center"/>
              <w:rPr>
                <w:rFonts w:hAnsi="宋体"/>
                <w:color w:val="auto"/>
                <w:sz w:val="24"/>
                <w:szCs w:val="24"/>
                <w:highlight w:val="none"/>
              </w:rPr>
            </w:pPr>
            <w:r>
              <w:rPr>
                <w:rFonts w:hint="eastAsia" w:hAnsi="宋体"/>
                <w:color w:val="auto"/>
                <w:sz w:val="24"/>
                <w:szCs w:val="24"/>
                <w:highlight w:val="none"/>
              </w:rPr>
              <w:t>备注</w:t>
            </w:r>
          </w:p>
        </w:tc>
      </w:tr>
      <w:tr w14:paraId="3A180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873449D">
            <w:pPr>
              <w:jc w:val="center"/>
              <w:rPr>
                <w:rFonts w:hAnsi="宋体"/>
                <w:color w:val="auto"/>
                <w:sz w:val="24"/>
                <w:szCs w:val="24"/>
                <w:highlight w:val="none"/>
              </w:rPr>
            </w:pPr>
            <w:r>
              <w:rPr>
                <w:rFonts w:hAnsi="宋体"/>
                <w:color w:val="auto"/>
                <w:sz w:val="24"/>
                <w:szCs w:val="24"/>
                <w:highlight w:val="none"/>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415B5F5F">
            <w:pPr>
              <w:jc w:val="center"/>
              <w:rPr>
                <w:rFonts w:hAnsi="宋体"/>
                <w:color w:val="auto"/>
                <w:sz w:val="24"/>
                <w:szCs w:val="24"/>
                <w:highlight w:val="none"/>
              </w:rPr>
            </w:pPr>
            <w:r>
              <w:rPr>
                <w:rFonts w:hint="eastAsia" w:hAnsi="宋体"/>
                <w:color w:val="auto"/>
                <w:sz w:val="24"/>
                <w:szCs w:val="24"/>
                <w:highlight w:val="none"/>
              </w:rPr>
              <w:t xml:space="preserve">合同履行期限 </w:t>
            </w:r>
          </w:p>
        </w:tc>
        <w:tc>
          <w:tcPr>
            <w:tcW w:w="1959" w:type="dxa"/>
            <w:tcBorders>
              <w:top w:val="single" w:color="000000" w:sz="4" w:space="0"/>
              <w:left w:val="single" w:color="000000" w:sz="4" w:space="0"/>
              <w:bottom w:val="single" w:color="000000" w:sz="4" w:space="0"/>
              <w:right w:val="single" w:color="000000" w:sz="4" w:space="0"/>
            </w:tcBorders>
            <w:vAlign w:val="center"/>
          </w:tcPr>
          <w:p w14:paraId="6D686736">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F052D94">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7EECA40">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2A6414D">
            <w:pPr>
              <w:jc w:val="center"/>
              <w:rPr>
                <w:rFonts w:hAnsi="宋体"/>
                <w:color w:val="auto"/>
                <w:sz w:val="24"/>
                <w:szCs w:val="24"/>
                <w:highlight w:val="none"/>
              </w:rPr>
            </w:pPr>
          </w:p>
        </w:tc>
      </w:tr>
      <w:tr w14:paraId="48712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050FF09">
            <w:pPr>
              <w:jc w:val="center"/>
              <w:rPr>
                <w:rFonts w:hAnsi="宋体"/>
                <w:color w:val="auto"/>
                <w:sz w:val="24"/>
                <w:szCs w:val="24"/>
                <w:highlight w:val="none"/>
              </w:rPr>
            </w:pPr>
            <w:r>
              <w:rPr>
                <w:rFonts w:hAnsi="宋体"/>
                <w:color w:val="auto"/>
                <w:sz w:val="24"/>
                <w:szCs w:val="24"/>
                <w:highlight w:val="none"/>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6FBA2BBE">
            <w:pPr>
              <w:jc w:val="center"/>
              <w:rPr>
                <w:rFonts w:hAnsi="宋体"/>
                <w:color w:val="auto"/>
                <w:sz w:val="24"/>
                <w:szCs w:val="24"/>
                <w:highlight w:val="none"/>
              </w:rPr>
            </w:pPr>
            <w:r>
              <w:rPr>
                <w:rFonts w:hint="eastAsia" w:hAnsi="宋体"/>
                <w:color w:val="auto"/>
                <w:sz w:val="24"/>
                <w:szCs w:val="24"/>
                <w:highlight w:val="none"/>
              </w:rPr>
              <w:t>服务地点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3F16929E">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24BC6AE">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3DD37F08">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37296AC">
            <w:pPr>
              <w:jc w:val="center"/>
              <w:rPr>
                <w:rFonts w:hAnsi="宋体"/>
                <w:color w:val="auto"/>
                <w:sz w:val="24"/>
                <w:szCs w:val="24"/>
                <w:highlight w:val="none"/>
              </w:rPr>
            </w:pPr>
          </w:p>
        </w:tc>
      </w:tr>
      <w:tr w14:paraId="1CBCD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C3B78E2">
            <w:pPr>
              <w:jc w:val="center"/>
              <w:rPr>
                <w:rFonts w:hAnsi="宋体"/>
                <w:color w:val="auto"/>
                <w:sz w:val="24"/>
                <w:szCs w:val="24"/>
                <w:highlight w:val="none"/>
              </w:rPr>
            </w:pPr>
            <w:r>
              <w:rPr>
                <w:rFonts w:hAnsi="宋体"/>
                <w:color w:val="auto"/>
                <w:sz w:val="24"/>
                <w:szCs w:val="24"/>
                <w:highlight w:val="none"/>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557196AC">
            <w:pPr>
              <w:jc w:val="center"/>
              <w:rPr>
                <w:rFonts w:hAnsi="宋体"/>
                <w:color w:val="auto"/>
                <w:sz w:val="24"/>
                <w:szCs w:val="24"/>
                <w:highlight w:val="none"/>
              </w:rPr>
            </w:pPr>
            <w:r>
              <w:rPr>
                <w:rFonts w:hint="eastAsia" w:hAnsi="宋体"/>
                <w:color w:val="auto"/>
                <w:sz w:val="24"/>
                <w:szCs w:val="24"/>
                <w:highlight w:val="none"/>
              </w:rPr>
              <w:t>付款方式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0995FB68">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B7519BA">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79871D7">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20F5C7A">
            <w:pPr>
              <w:jc w:val="center"/>
              <w:rPr>
                <w:rFonts w:hAnsi="宋体"/>
                <w:color w:val="auto"/>
                <w:sz w:val="24"/>
                <w:szCs w:val="24"/>
                <w:highlight w:val="none"/>
              </w:rPr>
            </w:pPr>
          </w:p>
        </w:tc>
      </w:tr>
      <w:tr w14:paraId="78C4F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BAC14A7">
            <w:pPr>
              <w:jc w:val="center"/>
              <w:rPr>
                <w:rFonts w:hAnsi="宋体"/>
                <w:color w:val="auto"/>
                <w:sz w:val="24"/>
                <w:szCs w:val="24"/>
                <w:highlight w:val="none"/>
              </w:rPr>
            </w:pPr>
            <w:r>
              <w:rPr>
                <w:rFonts w:hAnsi="宋体"/>
                <w:color w:val="auto"/>
                <w:sz w:val="24"/>
                <w:szCs w:val="24"/>
                <w:highlight w:val="none"/>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4CE9F474">
            <w:pPr>
              <w:jc w:val="center"/>
              <w:rPr>
                <w:rFonts w:hAnsi="宋体"/>
                <w:color w:val="auto"/>
                <w:sz w:val="24"/>
                <w:szCs w:val="24"/>
                <w:highlight w:val="none"/>
              </w:rPr>
            </w:pPr>
            <w:r>
              <w:rPr>
                <w:rFonts w:hint="eastAsia" w:hAnsi="宋体"/>
                <w:color w:val="auto"/>
                <w:sz w:val="24"/>
                <w:szCs w:val="24"/>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vAlign w:val="center"/>
          </w:tcPr>
          <w:p w14:paraId="20DA888F">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694CB49">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66225437">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31D1757">
            <w:pPr>
              <w:jc w:val="center"/>
              <w:rPr>
                <w:rFonts w:hAnsi="宋体"/>
                <w:color w:val="auto"/>
                <w:sz w:val="24"/>
                <w:szCs w:val="24"/>
                <w:highlight w:val="none"/>
              </w:rPr>
            </w:pPr>
          </w:p>
        </w:tc>
      </w:tr>
      <w:tr w14:paraId="020C3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D5C4729">
            <w:pPr>
              <w:jc w:val="center"/>
              <w:rPr>
                <w:rFonts w:hAnsi="宋体"/>
                <w:color w:val="auto"/>
                <w:sz w:val="24"/>
                <w:szCs w:val="24"/>
                <w:highlight w:val="none"/>
              </w:rPr>
            </w:pPr>
            <w:r>
              <w:rPr>
                <w:rFonts w:hAnsi="宋体"/>
                <w:color w:val="auto"/>
                <w:sz w:val="24"/>
                <w:szCs w:val="24"/>
                <w:highlight w:val="none"/>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6CB579E2">
            <w:pPr>
              <w:jc w:val="center"/>
              <w:rPr>
                <w:rFonts w:hAnsi="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1756B90">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F7B4184">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37BFBE05">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62866D7">
            <w:pPr>
              <w:jc w:val="center"/>
              <w:rPr>
                <w:rFonts w:hAnsi="宋体"/>
                <w:color w:val="auto"/>
                <w:sz w:val="24"/>
                <w:szCs w:val="24"/>
                <w:highlight w:val="none"/>
              </w:rPr>
            </w:pPr>
          </w:p>
        </w:tc>
      </w:tr>
      <w:tr w14:paraId="37D19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0104FA9">
            <w:pPr>
              <w:jc w:val="center"/>
              <w:rPr>
                <w:rFonts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7EFE8C7A">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577B23D">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AC3CDB1">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3DB9D5BB">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196E14D">
            <w:pPr>
              <w:jc w:val="center"/>
              <w:rPr>
                <w:rFonts w:hAnsi="宋体"/>
                <w:color w:val="auto"/>
                <w:sz w:val="24"/>
                <w:szCs w:val="24"/>
                <w:highlight w:val="none"/>
              </w:rPr>
            </w:pPr>
          </w:p>
        </w:tc>
      </w:tr>
      <w:tr w14:paraId="3C4D8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19E2F55F">
            <w:pPr>
              <w:jc w:val="center"/>
              <w:rPr>
                <w:rFonts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4C416240">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F90AD2A">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A27D33D">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802BC05">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36EE3F9">
            <w:pPr>
              <w:jc w:val="center"/>
              <w:rPr>
                <w:rFonts w:hAnsi="宋体"/>
                <w:color w:val="auto"/>
                <w:sz w:val="24"/>
                <w:szCs w:val="24"/>
                <w:highlight w:val="none"/>
              </w:rPr>
            </w:pPr>
          </w:p>
        </w:tc>
      </w:tr>
      <w:tr w14:paraId="61BC8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DF16171">
            <w:pPr>
              <w:jc w:val="center"/>
              <w:rPr>
                <w:rFonts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53A413CE">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438C987">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619EBF7">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5D3D50F5">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AE9A9CE">
            <w:pPr>
              <w:jc w:val="center"/>
              <w:rPr>
                <w:rFonts w:hAnsi="宋体"/>
                <w:color w:val="auto"/>
                <w:sz w:val="24"/>
                <w:szCs w:val="24"/>
                <w:highlight w:val="none"/>
              </w:rPr>
            </w:pPr>
          </w:p>
        </w:tc>
      </w:tr>
      <w:tr w14:paraId="50B36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B294584">
            <w:pPr>
              <w:jc w:val="center"/>
              <w:rPr>
                <w:rFonts w:hAnsi="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58F853C4">
            <w:pPr>
              <w:jc w:val="center"/>
              <w:rPr>
                <w:rFonts w:hAnsi="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B131A96">
            <w:pPr>
              <w:jc w:val="center"/>
              <w:rPr>
                <w:rFonts w:hAnsi="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A2F434D">
            <w:pPr>
              <w:jc w:val="center"/>
              <w:rPr>
                <w:rFonts w:hAnsi="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667D99DE">
            <w:pPr>
              <w:jc w:val="center"/>
              <w:rPr>
                <w:rFonts w:hAnsi="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4487EB1">
            <w:pPr>
              <w:jc w:val="center"/>
              <w:rPr>
                <w:rFonts w:hAnsi="宋体"/>
                <w:color w:val="auto"/>
                <w:sz w:val="24"/>
                <w:szCs w:val="24"/>
                <w:highlight w:val="none"/>
              </w:rPr>
            </w:pPr>
          </w:p>
        </w:tc>
      </w:tr>
    </w:tbl>
    <w:p w14:paraId="026A5044">
      <w:pPr>
        <w:spacing w:line="360" w:lineRule="auto"/>
        <w:rPr>
          <w:rFonts w:hAnsi="宋体"/>
          <w:color w:val="auto"/>
          <w:sz w:val="24"/>
          <w:szCs w:val="24"/>
          <w:highlight w:val="none"/>
        </w:rPr>
      </w:pPr>
      <w:r>
        <w:rPr>
          <w:rFonts w:hint="eastAsia" w:hAnsi="宋体"/>
          <w:color w:val="auto"/>
          <w:sz w:val="24"/>
          <w:szCs w:val="24"/>
          <w:highlight w:val="none"/>
        </w:rPr>
        <w:t>注：</w:t>
      </w:r>
      <w:r>
        <w:rPr>
          <w:rFonts w:hAnsi="宋体"/>
          <w:color w:val="auto"/>
          <w:sz w:val="24"/>
          <w:szCs w:val="24"/>
          <w:highlight w:val="none"/>
        </w:rPr>
        <w:t>1.</w:t>
      </w:r>
      <w:r>
        <w:rPr>
          <w:rFonts w:hint="eastAsia" w:hAnsi="宋体"/>
          <w:color w:val="auto"/>
          <w:sz w:val="24"/>
          <w:szCs w:val="24"/>
          <w:highlight w:val="none"/>
        </w:rPr>
        <w:t>投标人提交的投标文件中与招标文件的商务要求有不同时，应在本表中把招标文件要求与投标实际响应内容逐项对应列出，优于的，填写“正偏离”；低于的，填写“负偏离”。</w:t>
      </w:r>
    </w:p>
    <w:p w14:paraId="655B3825">
      <w:pPr>
        <w:spacing w:line="360" w:lineRule="auto"/>
        <w:ind w:firstLine="420"/>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若事项较多，投标人可根据投标内容的实际情况另纸说明，不列出视为完全响应。</w:t>
      </w:r>
    </w:p>
    <w:p w14:paraId="650C72B0">
      <w:pPr>
        <w:pStyle w:val="16"/>
        <w:spacing w:before="0" w:line="360" w:lineRule="auto"/>
        <w:ind w:left="0"/>
        <w:jc w:val="both"/>
        <w:rPr>
          <w:rFonts w:hAnsi="宋体"/>
          <w:color w:val="auto"/>
          <w:sz w:val="24"/>
          <w:szCs w:val="24"/>
          <w:highlight w:val="none"/>
        </w:rPr>
      </w:pPr>
    </w:p>
    <w:p w14:paraId="58486126">
      <w:pPr>
        <w:pStyle w:val="16"/>
        <w:spacing w:before="0" w:line="360" w:lineRule="auto"/>
        <w:ind w:left="0"/>
        <w:jc w:val="both"/>
        <w:rPr>
          <w:rFonts w:hAnsi="宋体"/>
          <w:color w:val="auto"/>
          <w:sz w:val="24"/>
          <w:szCs w:val="24"/>
          <w:highlight w:val="none"/>
        </w:rPr>
      </w:pPr>
    </w:p>
    <w:p w14:paraId="42CEE7B4">
      <w:pPr>
        <w:spacing w:line="360" w:lineRule="auto"/>
        <w:rPr>
          <w:rFonts w:hAnsi="宋体"/>
          <w:color w:val="auto"/>
          <w:sz w:val="24"/>
          <w:szCs w:val="24"/>
          <w:highlight w:val="none"/>
        </w:rPr>
      </w:pPr>
      <w:r>
        <w:rPr>
          <w:rFonts w:hint="eastAsia" w:hAnsi="宋体"/>
          <w:color w:val="auto"/>
          <w:sz w:val="24"/>
          <w:szCs w:val="24"/>
          <w:highlight w:val="none"/>
        </w:rPr>
        <w:t>投标单位：（公章）</w:t>
      </w:r>
    </w:p>
    <w:p w14:paraId="37CA4FF4">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65E9569E">
      <w:pPr>
        <w:spacing w:line="360" w:lineRule="auto"/>
        <w:rPr>
          <w:rFonts w:hAnsi="宋体"/>
          <w:color w:val="auto"/>
          <w:sz w:val="24"/>
          <w:szCs w:val="24"/>
          <w:highlight w:val="none"/>
        </w:rPr>
      </w:pPr>
      <w:r>
        <w:rPr>
          <w:rFonts w:hint="eastAsia" w:hAnsi="宋体"/>
          <w:color w:val="auto"/>
          <w:sz w:val="24"/>
          <w:szCs w:val="24"/>
          <w:highlight w:val="none"/>
        </w:rPr>
        <w:t>投标日期</w:t>
      </w:r>
      <w:r>
        <w:rPr>
          <w:rFonts w:hAnsi="宋体"/>
          <w:color w:val="auto"/>
          <w:sz w:val="24"/>
          <w:szCs w:val="24"/>
          <w:highlight w:val="none"/>
        </w:rPr>
        <w:t xml:space="preserve">:  </w:t>
      </w:r>
      <w:r>
        <w:rPr>
          <w:rFonts w:hint="eastAsia" w:hAnsi="宋体"/>
          <w:color w:val="auto"/>
          <w:sz w:val="24"/>
          <w:szCs w:val="24"/>
          <w:highlight w:val="none"/>
        </w:rPr>
        <w:t>年月日</w:t>
      </w:r>
    </w:p>
    <w:bookmarkEnd w:id="40"/>
    <w:bookmarkEnd w:id="41"/>
    <w:p w14:paraId="23CA7D6A">
      <w:pPr>
        <w:pStyle w:val="16"/>
        <w:spacing w:before="0" w:line="360" w:lineRule="auto"/>
        <w:ind w:left="0"/>
        <w:jc w:val="both"/>
        <w:rPr>
          <w:rFonts w:hAnsi="宋体"/>
          <w:color w:val="auto"/>
          <w:sz w:val="24"/>
          <w:szCs w:val="24"/>
          <w:highlight w:val="none"/>
        </w:rPr>
      </w:pPr>
    </w:p>
    <w:p w14:paraId="51832880">
      <w:pPr>
        <w:pStyle w:val="16"/>
        <w:spacing w:before="0" w:line="360" w:lineRule="auto"/>
        <w:ind w:left="0"/>
        <w:jc w:val="both"/>
        <w:rPr>
          <w:rFonts w:hAnsi="宋体"/>
          <w:color w:val="auto"/>
          <w:sz w:val="24"/>
          <w:szCs w:val="24"/>
          <w:highlight w:val="none"/>
        </w:rPr>
      </w:pPr>
    </w:p>
    <w:p w14:paraId="45497245">
      <w:pPr>
        <w:pStyle w:val="16"/>
        <w:spacing w:before="0" w:line="360" w:lineRule="auto"/>
        <w:ind w:left="0"/>
        <w:jc w:val="both"/>
        <w:rPr>
          <w:rFonts w:hAnsi="宋体"/>
          <w:color w:val="auto"/>
          <w:sz w:val="24"/>
          <w:szCs w:val="24"/>
          <w:highlight w:val="none"/>
        </w:rPr>
      </w:pPr>
    </w:p>
    <w:p w14:paraId="15A266E3">
      <w:pPr>
        <w:pStyle w:val="16"/>
        <w:spacing w:before="0" w:line="360" w:lineRule="auto"/>
        <w:ind w:left="0"/>
        <w:jc w:val="both"/>
        <w:rPr>
          <w:rFonts w:hAnsi="宋体"/>
          <w:color w:val="auto"/>
          <w:sz w:val="24"/>
          <w:szCs w:val="24"/>
          <w:highlight w:val="none"/>
        </w:rPr>
      </w:pPr>
    </w:p>
    <w:p w14:paraId="633B160D">
      <w:pPr>
        <w:pStyle w:val="16"/>
        <w:spacing w:before="0" w:line="360" w:lineRule="auto"/>
        <w:ind w:left="0"/>
        <w:jc w:val="both"/>
        <w:rPr>
          <w:rFonts w:hAnsi="宋体"/>
          <w:color w:val="auto"/>
          <w:sz w:val="24"/>
          <w:szCs w:val="24"/>
          <w:highlight w:val="none"/>
        </w:rPr>
      </w:pPr>
    </w:p>
    <w:p w14:paraId="30367D08">
      <w:pPr>
        <w:pStyle w:val="16"/>
        <w:spacing w:before="0" w:line="360" w:lineRule="auto"/>
        <w:ind w:left="0"/>
        <w:jc w:val="both"/>
        <w:rPr>
          <w:rFonts w:hAnsi="宋体"/>
          <w:color w:val="auto"/>
          <w:sz w:val="24"/>
          <w:szCs w:val="24"/>
          <w:highlight w:val="none"/>
        </w:rPr>
      </w:pPr>
    </w:p>
    <w:p w14:paraId="6FE161BE">
      <w:pPr>
        <w:pStyle w:val="3"/>
        <w:spacing w:line="360" w:lineRule="auto"/>
        <w:ind w:left="0"/>
        <w:rPr>
          <w:rFonts w:hAnsi="宋体"/>
          <w:bCs w:val="0"/>
          <w:color w:val="auto"/>
          <w:sz w:val="24"/>
          <w:szCs w:val="24"/>
          <w:highlight w:val="none"/>
        </w:rPr>
      </w:pPr>
      <w:r>
        <w:rPr>
          <w:rFonts w:hAnsi="宋体"/>
          <w:bCs w:val="0"/>
          <w:color w:val="auto"/>
          <w:sz w:val="24"/>
          <w:szCs w:val="24"/>
          <w:highlight w:val="none"/>
        </w:rPr>
        <w:t>10、</w:t>
      </w:r>
      <w:r>
        <w:rPr>
          <w:rFonts w:hint="eastAsia" w:hAnsi="宋体"/>
          <w:bCs w:val="0"/>
          <w:color w:val="auto"/>
          <w:sz w:val="24"/>
          <w:szCs w:val="24"/>
          <w:highlight w:val="none"/>
        </w:rPr>
        <w:t>企业类似业绩一览表</w:t>
      </w:r>
    </w:p>
    <w:p w14:paraId="23E9A57E">
      <w:pPr>
        <w:ind w:firstLine="480"/>
        <w:jc w:val="center"/>
        <w:rPr>
          <w:rFonts w:hAnsi="宋体"/>
          <w:b/>
          <w:color w:val="auto"/>
          <w:sz w:val="24"/>
          <w:szCs w:val="24"/>
          <w:highlight w:val="none"/>
        </w:rPr>
      </w:pPr>
    </w:p>
    <w:p w14:paraId="30184FF5">
      <w:pPr>
        <w:jc w:val="center"/>
        <w:rPr>
          <w:rFonts w:hAnsi="宋体"/>
          <w:b/>
          <w:color w:val="auto"/>
          <w:sz w:val="24"/>
          <w:szCs w:val="24"/>
          <w:highlight w:val="none"/>
        </w:rPr>
      </w:pPr>
      <w:r>
        <w:rPr>
          <w:rFonts w:hint="eastAsia" w:hAnsi="宋体"/>
          <w:b/>
          <w:color w:val="auto"/>
          <w:sz w:val="24"/>
          <w:szCs w:val="24"/>
          <w:highlight w:val="none"/>
        </w:rPr>
        <w:t>企业类似业绩一览表</w:t>
      </w:r>
    </w:p>
    <w:tbl>
      <w:tblPr>
        <w:tblStyle w:val="42"/>
        <w:tblW w:w="94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746"/>
        <w:gridCol w:w="1418"/>
        <w:gridCol w:w="1947"/>
        <w:gridCol w:w="2164"/>
      </w:tblGrid>
      <w:tr w14:paraId="25031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632E37F">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序号</w:t>
            </w:r>
          </w:p>
        </w:tc>
        <w:tc>
          <w:tcPr>
            <w:tcW w:w="1530" w:type="dxa"/>
            <w:vAlign w:val="center"/>
          </w:tcPr>
          <w:p w14:paraId="2A78C251">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tc>
        <w:tc>
          <w:tcPr>
            <w:tcW w:w="1746" w:type="dxa"/>
            <w:vAlign w:val="center"/>
          </w:tcPr>
          <w:p w14:paraId="7062D092">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合同签订日期</w:t>
            </w:r>
          </w:p>
        </w:tc>
        <w:tc>
          <w:tcPr>
            <w:tcW w:w="1418" w:type="dxa"/>
            <w:vAlign w:val="center"/>
          </w:tcPr>
          <w:p w14:paraId="25A2428F">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2676C78A">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（人民币）</w:t>
            </w:r>
          </w:p>
        </w:tc>
        <w:tc>
          <w:tcPr>
            <w:tcW w:w="1947" w:type="dxa"/>
            <w:vAlign w:val="center"/>
          </w:tcPr>
          <w:p w14:paraId="44F66611">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业主单位</w:t>
            </w:r>
          </w:p>
        </w:tc>
        <w:tc>
          <w:tcPr>
            <w:tcW w:w="2164" w:type="dxa"/>
            <w:vAlign w:val="center"/>
          </w:tcPr>
          <w:p w14:paraId="7736DEE1">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养护（保洁）里程</w:t>
            </w:r>
          </w:p>
        </w:tc>
      </w:tr>
      <w:tr w14:paraId="01FF6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2AAD331F">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1</w:t>
            </w:r>
          </w:p>
        </w:tc>
        <w:tc>
          <w:tcPr>
            <w:tcW w:w="1530" w:type="dxa"/>
            <w:vAlign w:val="center"/>
          </w:tcPr>
          <w:p w14:paraId="3ADBCD83">
            <w:pPr>
              <w:pStyle w:val="285"/>
              <w:spacing w:line="360" w:lineRule="auto"/>
              <w:jc w:val="center"/>
              <w:rPr>
                <w:rFonts w:hAnsi="宋体" w:eastAsia="宋体" w:cs="宋体"/>
                <w:color w:val="auto"/>
                <w:sz w:val="24"/>
                <w:szCs w:val="24"/>
                <w:highlight w:val="none"/>
              </w:rPr>
            </w:pPr>
          </w:p>
        </w:tc>
        <w:tc>
          <w:tcPr>
            <w:tcW w:w="1746" w:type="dxa"/>
          </w:tcPr>
          <w:p w14:paraId="547C112E">
            <w:pPr>
              <w:pStyle w:val="285"/>
              <w:spacing w:line="360" w:lineRule="auto"/>
              <w:jc w:val="center"/>
              <w:rPr>
                <w:rFonts w:hAnsi="宋体" w:eastAsia="宋体" w:cs="宋体"/>
                <w:color w:val="auto"/>
                <w:sz w:val="24"/>
                <w:szCs w:val="24"/>
                <w:highlight w:val="none"/>
              </w:rPr>
            </w:pPr>
          </w:p>
        </w:tc>
        <w:tc>
          <w:tcPr>
            <w:tcW w:w="1418" w:type="dxa"/>
            <w:vAlign w:val="center"/>
          </w:tcPr>
          <w:p w14:paraId="03E74B55">
            <w:pPr>
              <w:pStyle w:val="285"/>
              <w:spacing w:line="360" w:lineRule="auto"/>
              <w:jc w:val="center"/>
              <w:rPr>
                <w:rFonts w:hAnsi="宋体" w:eastAsia="宋体" w:cs="宋体"/>
                <w:color w:val="auto"/>
                <w:sz w:val="24"/>
                <w:szCs w:val="24"/>
                <w:highlight w:val="none"/>
              </w:rPr>
            </w:pPr>
          </w:p>
        </w:tc>
        <w:tc>
          <w:tcPr>
            <w:tcW w:w="1947" w:type="dxa"/>
            <w:vAlign w:val="center"/>
          </w:tcPr>
          <w:p w14:paraId="0AF22387">
            <w:pPr>
              <w:pStyle w:val="285"/>
              <w:spacing w:line="360" w:lineRule="auto"/>
              <w:jc w:val="center"/>
              <w:rPr>
                <w:rFonts w:hAnsi="宋体" w:eastAsia="宋体" w:cs="宋体"/>
                <w:color w:val="auto"/>
                <w:sz w:val="24"/>
                <w:szCs w:val="24"/>
                <w:highlight w:val="none"/>
              </w:rPr>
            </w:pPr>
          </w:p>
        </w:tc>
        <w:tc>
          <w:tcPr>
            <w:tcW w:w="2164" w:type="dxa"/>
            <w:vAlign w:val="center"/>
          </w:tcPr>
          <w:p w14:paraId="50682BF3">
            <w:pPr>
              <w:pStyle w:val="285"/>
              <w:spacing w:line="360" w:lineRule="auto"/>
              <w:jc w:val="center"/>
              <w:rPr>
                <w:rFonts w:hAnsi="宋体" w:eastAsia="宋体" w:cs="宋体"/>
                <w:color w:val="auto"/>
                <w:sz w:val="24"/>
                <w:szCs w:val="24"/>
                <w:highlight w:val="none"/>
              </w:rPr>
            </w:pPr>
          </w:p>
        </w:tc>
      </w:tr>
      <w:tr w14:paraId="596DF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C690999">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2</w:t>
            </w:r>
          </w:p>
        </w:tc>
        <w:tc>
          <w:tcPr>
            <w:tcW w:w="1530" w:type="dxa"/>
            <w:vAlign w:val="center"/>
          </w:tcPr>
          <w:p w14:paraId="748B3B6E">
            <w:pPr>
              <w:pStyle w:val="285"/>
              <w:spacing w:line="360" w:lineRule="auto"/>
              <w:jc w:val="center"/>
              <w:rPr>
                <w:rFonts w:hAnsi="宋体" w:eastAsia="宋体" w:cs="宋体"/>
                <w:color w:val="auto"/>
                <w:sz w:val="24"/>
                <w:szCs w:val="24"/>
                <w:highlight w:val="none"/>
              </w:rPr>
            </w:pPr>
          </w:p>
        </w:tc>
        <w:tc>
          <w:tcPr>
            <w:tcW w:w="1746" w:type="dxa"/>
          </w:tcPr>
          <w:p w14:paraId="6C39302C">
            <w:pPr>
              <w:pStyle w:val="285"/>
              <w:spacing w:line="360" w:lineRule="auto"/>
              <w:jc w:val="center"/>
              <w:rPr>
                <w:rFonts w:hAnsi="宋体" w:eastAsia="宋体" w:cs="宋体"/>
                <w:color w:val="auto"/>
                <w:sz w:val="24"/>
                <w:szCs w:val="24"/>
                <w:highlight w:val="none"/>
              </w:rPr>
            </w:pPr>
          </w:p>
        </w:tc>
        <w:tc>
          <w:tcPr>
            <w:tcW w:w="1418" w:type="dxa"/>
            <w:vAlign w:val="center"/>
          </w:tcPr>
          <w:p w14:paraId="02F83959">
            <w:pPr>
              <w:pStyle w:val="285"/>
              <w:spacing w:line="360" w:lineRule="auto"/>
              <w:jc w:val="center"/>
              <w:rPr>
                <w:rFonts w:hAnsi="宋体" w:eastAsia="宋体" w:cs="宋体"/>
                <w:color w:val="auto"/>
                <w:sz w:val="24"/>
                <w:szCs w:val="24"/>
                <w:highlight w:val="none"/>
              </w:rPr>
            </w:pPr>
          </w:p>
        </w:tc>
        <w:tc>
          <w:tcPr>
            <w:tcW w:w="1947" w:type="dxa"/>
            <w:vAlign w:val="center"/>
          </w:tcPr>
          <w:p w14:paraId="0251276C">
            <w:pPr>
              <w:pStyle w:val="285"/>
              <w:spacing w:line="360" w:lineRule="auto"/>
              <w:jc w:val="center"/>
              <w:rPr>
                <w:rFonts w:hAnsi="宋体" w:eastAsia="宋体" w:cs="宋体"/>
                <w:color w:val="auto"/>
                <w:sz w:val="24"/>
                <w:szCs w:val="24"/>
                <w:highlight w:val="none"/>
              </w:rPr>
            </w:pPr>
          </w:p>
        </w:tc>
        <w:tc>
          <w:tcPr>
            <w:tcW w:w="2164" w:type="dxa"/>
            <w:vAlign w:val="center"/>
          </w:tcPr>
          <w:p w14:paraId="5646E088">
            <w:pPr>
              <w:pStyle w:val="285"/>
              <w:spacing w:line="360" w:lineRule="auto"/>
              <w:jc w:val="center"/>
              <w:rPr>
                <w:rFonts w:hAnsi="宋体" w:eastAsia="宋体" w:cs="宋体"/>
                <w:color w:val="auto"/>
                <w:sz w:val="24"/>
                <w:szCs w:val="24"/>
                <w:highlight w:val="none"/>
              </w:rPr>
            </w:pPr>
          </w:p>
        </w:tc>
      </w:tr>
      <w:tr w14:paraId="639BD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7F5234A5">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3</w:t>
            </w:r>
          </w:p>
        </w:tc>
        <w:tc>
          <w:tcPr>
            <w:tcW w:w="1530" w:type="dxa"/>
            <w:vAlign w:val="center"/>
          </w:tcPr>
          <w:p w14:paraId="3FB38092">
            <w:pPr>
              <w:pStyle w:val="285"/>
              <w:spacing w:line="360" w:lineRule="auto"/>
              <w:jc w:val="center"/>
              <w:rPr>
                <w:rFonts w:hAnsi="宋体" w:eastAsia="宋体" w:cs="宋体"/>
                <w:color w:val="auto"/>
                <w:sz w:val="24"/>
                <w:szCs w:val="24"/>
                <w:highlight w:val="none"/>
              </w:rPr>
            </w:pPr>
          </w:p>
        </w:tc>
        <w:tc>
          <w:tcPr>
            <w:tcW w:w="1746" w:type="dxa"/>
          </w:tcPr>
          <w:p w14:paraId="799834AB">
            <w:pPr>
              <w:pStyle w:val="285"/>
              <w:spacing w:line="360" w:lineRule="auto"/>
              <w:jc w:val="center"/>
              <w:rPr>
                <w:rFonts w:hAnsi="宋体" w:eastAsia="宋体" w:cs="宋体"/>
                <w:color w:val="auto"/>
                <w:sz w:val="24"/>
                <w:szCs w:val="24"/>
                <w:highlight w:val="none"/>
              </w:rPr>
            </w:pPr>
          </w:p>
        </w:tc>
        <w:tc>
          <w:tcPr>
            <w:tcW w:w="1418" w:type="dxa"/>
            <w:vAlign w:val="center"/>
          </w:tcPr>
          <w:p w14:paraId="35963073">
            <w:pPr>
              <w:pStyle w:val="285"/>
              <w:spacing w:line="360" w:lineRule="auto"/>
              <w:jc w:val="center"/>
              <w:rPr>
                <w:rFonts w:hAnsi="宋体" w:eastAsia="宋体" w:cs="宋体"/>
                <w:color w:val="auto"/>
                <w:sz w:val="24"/>
                <w:szCs w:val="24"/>
                <w:highlight w:val="none"/>
              </w:rPr>
            </w:pPr>
          </w:p>
        </w:tc>
        <w:tc>
          <w:tcPr>
            <w:tcW w:w="1947" w:type="dxa"/>
            <w:vAlign w:val="center"/>
          </w:tcPr>
          <w:p w14:paraId="37D6C4D5">
            <w:pPr>
              <w:pStyle w:val="285"/>
              <w:spacing w:line="360" w:lineRule="auto"/>
              <w:jc w:val="center"/>
              <w:rPr>
                <w:rFonts w:hAnsi="宋体" w:eastAsia="宋体" w:cs="宋体"/>
                <w:color w:val="auto"/>
                <w:sz w:val="24"/>
                <w:szCs w:val="24"/>
                <w:highlight w:val="none"/>
              </w:rPr>
            </w:pPr>
          </w:p>
        </w:tc>
        <w:tc>
          <w:tcPr>
            <w:tcW w:w="2164" w:type="dxa"/>
            <w:vAlign w:val="center"/>
          </w:tcPr>
          <w:p w14:paraId="3EF08E28">
            <w:pPr>
              <w:pStyle w:val="285"/>
              <w:spacing w:line="360" w:lineRule="auto"/>
              <w:jc w:val="center"/>
              <w:rPr>
                <w:rFonts w:hAnsi="宋体" w:eastAsia="宋体" w:cs="宋体"/>
                <w:color w:val="auto"/>
                <w:sz w:val="24"/>
                <w:szCs w:val="24"/>
                <w:highlight w:val="none"/>
              </w:rPr>
            </w:pPr>
          </w:p>
        </w:tc>
      </w:tr>
      <w:tr w14:paraId="16236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C2689A7">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4</w:t>
            </w:r>
          </w:p>
        </w:tc>
        <w:tc>
          <w:tcPr>
            <w:tcW w:w="1530" w:type="dxa"/>
            <w:vAlign w:val="center"/>
          </w:tcPr>
          <w:p w14:paraId="5EEA096F">
            <w:pPr>
              <w:pStyle w:val="285"/>
              <w:spacing w:line="360" w:lineRule="auto"/>
              <w:jc w:val="center"/>
              <w:rPr>
                <w:rFonts w:hAnsi="宋体" w:eastAsia="宋体" w:cs="宋体"/>
                <w:color w:val="auto"/>
                <w:sz w:val="24"/>
                <w:szCs w:val="24"/>
                <w:highlight w:val="none"/>
              </w:rPr>
            </w:pPr>
          </w:p>
        </w:tc>
        <w:tc>
          <w:tcPr>
            <w:tcW w:w="1746" w:type="dxa"/>
          </w:tcPr>
          <w:p w14:paraId="5E7A6E45">
            <w:pPr>
              <w:pStyle w:val="285"/>
              <w:spacing w:line="360" w:lineRule="auto"/>
              <w:jc w:val="center"/>
              <w:rPr>
                <w:rFonts w:hAnsi="宋体" w:eastAsia="宋体" w:cs="宋体"/>
                <w:color w:val="auto"/>
                <w:sz w:val="24"/>
                <w:szCs w:val="24"/>
                <w:highlight w:val="none"/>
              </w:rPr>
            </w:pPr>
          </w:p>
        </w:tc>
        <w:tc>
          <w:tcPr>
            <w:tcW w:w="1418" w:type="dxa"/>
            <w:vAlign w:val="center"/>
          </w:tcPr>
          <w:p w14:paraId="0ACA2303">
            <w:pPr>
              <w:pStyle w:val="285"/>
              <w:spacing w:line="360" w:lineRule="auto"/>
              <w:jc w:val="center"/>
              <w:rPr>
                <w:rFonts w:hAnsi="宋体" w:eastAsia="宋体" w:cs="宋体"/>
                <w:color w:val="auto"/>
                <w:sz w:val="24"/>
                <w:szCs w:val="24"/>
                <w:highlight w:val="none"/>
              </w:rPr>
            </w:pPr>
          </w:p>
        </w:tc>
        <w:tc>
          <w:tcPr>
            <w:tcW w:w="1947" w:type="dxa"/>
            <w:vAlign w:val="center"/>
          </w:tcPr>
          <w:p w14:paraId="1E456638">
            <w:pPr>
              <w:pStyle w:val="285"/>
              <w:spacing w:line="360" w:lineRule="auto"/>
              <w:jc w:val="center"/>
              <w:rPr>
                <w:rFonts w:hAnsi="宋体" w:eastAsia="宋体" w:cs="宋体"/>
                <w:color w:val="auto"/>
                <w:sz w:val="24"/>
                <w:szCs w:val="24"/>
                <w:highlight w:val="none"/>
              </w:rPr>
            </w:pPr>
          </w:p>
        </w:tc>
        <w:tc>
          <w:tcPr>
            <w:tcW w:w="2164" w:type="dxa"/>
            <w:vAlign w:val="center"/>
          </w:tcPr>
          <w:p w14:paraId="33DA9509">
            <w:pPr>
              <w:pStyle w:val="285"/>
              <w:spacing w:line="360" w:lineRule="auto"/>
              <w:jc w:val="center"/>
              <w:rPr>
                <w:rFonts w:hAnsi="宋体" w:eastAsia="宋体" w:cs="宋体"/>
                <w:color w:val="auto"/>
                <w:sz w:val="24"/>
                <w:szCs w:val="24"/>
                <w:highlight w:val="none"/>
              </w:rPr>
            </w:pPr>
          </w:p>
        </w:tc>
      </w:tr>
      <w:tr w14:paraId="54E74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BC7E072">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5</w:t>
            </w:r>
          </w:p>
        </w:tc>
        <w:tc>
          <w:tcPr>
            <w:tcW w:w="1530" w:type="dxa"/>
            <w:vAlign w:val="center"/>
          </w:tcPr>
          <w:p w14:paraId="2ABC6729">
            <w:pPr>
              <w:pStyle w:val="285"/>
              <w:spacing w:line="360" w:lineRule="auto"/>
              <w:jc w:val="center"/>
              <w:rPr>
                <w:rFonts w:hAnsi="宋体" w:eastAsia="宋体" w:cs="宋体"/>
                <w:color w:val="auto"/>
                <w:sz w:val="24"/>
                <w:szCs w:val="24"/>
                <w:highlight w:val="none"/>
              </w:rPr>
            </w:pPr>
          </w:p>
        </w:tc>
        <w:tc>
          <w:tcPr>
            <w:tcW w:w="1746" w:type="dxa"/>
          </w:tcPr>
          <w:p w14:paraId="2CD1AC86">
            <w:pPr>
              <w:pStyle w:val="285"/>
              <w:spacing w:line="360" w:lineRule="auto"/>
              <w:jc w:val="center"/>
              <w:rPr>
                <w:rFonts w:hAnsi="宋体" w:eastAsia="宋体" w:cs="宋体"/>
                <w:color w:val="auto"/>
                <w:sz w:val="24"/>
                <w:szCs w:val="24"/>
                <w:highlight w:val="none"/>
              </w:rPr>
            </w:pPr>
          </w:p>
        </w:tc>
        <w:tc>
          <w:tcPr>
            <w:tcW w:w="1418" w:type="dxa"/>
            <w:vAlign w:val="center"/>
          </w:tcPr>
          <w:p w14:paraId="65660C9A">
            <w:pPr>
              <w:pStyle w:val="285"/>
              <w:spacing w:line="360" w:lineRule="auto"/>
              <w:jc w:val="center"/>
              <w:rPr>
                <w:rFonts w:hAnsi="宋体" w:eastAsia="宋体" w:cs="宋体"/>
                <w:color w:val="auto"/>
                <w:sz w:val="24"/>
                <w:szCs w:val="24"/>
                <w:highlight w:val="none"/>
              </w:rPr>
            </w:pPr>
          </w:p>
        </w:tc>
        <w:tc>
          <w:tcPr>
            <w:tcW w:w="1947" w:type="dxa"/>
            <w:vAlign w:val="center"/>
          </w:tcPr>
          <w:p w14:paraId="6CCC0536">
            <w:pPr>
              <w:pStyle w:val="285"/>
              <w:spacing w:line="360" w:lineRule="auto"/>
              <w:jc w:val="center"/>
              <w:rPr>
                <w:rFonts w:hAnsi="宋体" w:eastAsia="宋体" w:cs="宋体"/>
                <w:color w:val="auto"/>
                <w:sz w:val="24"/>
                <w:szCs w:val="24"/>
                <w:highlight w:val="none"/>
              </w:rPr>
            </w:pPr>
          </w:p>
        </w:tc>
        <w:tc>
          <w:tcPr>
            <w:tcW w:w="2164" w:type="dxa"/>
            <w:vAlign w:val="center"/>
          </w:tcPr>
          <w:p w14:paraId="3EBF8F77">
            <w:pPr>
              <w:pStyle w:val="285"/>
              <w:spacing w:line="360" w:lineRule="auto"/>
              <w:jc w:val="center"/>
              <w:rPr>
                <w:rFonts w:hAnsi="宋体" w:eastAsia="宋体" w:cs="宋体"/>
                <w:color w:val="auto"/>
                <w:sz w:val="24"/>
                <w:szCs w:val="24"/>
                <w:highlight w:val="none"/>
              </w:rPr>
            </w:pPr>
          </w:p>
        </w:tc>
      </w:tr>
      <w:tr w14:paraId="2ABAF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3E917C6">
            <w:pPr>
              <w:pStyle w:val="285"/>
              <w:spacing w:line="360" w:lineRule="auto"/>
              <w:jc w:val="center"/>
              <w:rPr>
                <w:rFonts w:hAnsi="宋体" w:eastAsia="宋体" w:cs="宋体"/>
                <w:color w:val="auto"/>
                <w:sz w:val="24"/>
                <w:szCs w:val="24"/>
                <w:highlight w:val="none"/>
              </w:rPr>
            </w:pPr>
            <w:r>
              <w:rPr>
                <w:rFonts w:hint="eastAsia" w:hAnsi="宋体" w:eastAsia="宋体" w:cs="宋体"/>
                <w:color w:val="auto"/>
                <w:sz w:val="24"/>
                <w:szCs w:val="24"/>
                <w:highlight w:val="none"/>
              </w:rPr>
              <w:t>6</w:t>
            </w:r>
          </w:p>
        </w:tc>
        <w:tc>
          <w:tcPr>
            <w:tcW w:w="1530" w:type="dxa"/>
            <w:vAlign w:val="center"/>
          </w:tcPr>
          <w:p w14:paraId="5CA2735A">
            <w:pPr>
              <w:pStyle w:val="285"/>
              <w:spacing w:line="360" w:lineRule="auto"/>
              <w:jc w:val="center"/>
              <w:rPr>
                <w:rFonts w:hAnsi="宋体" w:eastAsia="宋体" w:cs="宋体"/>
                <w:color w:val="auto"/>
                <w:sz w:val="24"/>
                <w:szCs w:val="24"/>
                <w:highlight w:val="none"/>
              </w:rPr>
            </w:pPr>
          </w:p>
        </w:tc>
        <w:tc>
          <w:tcPr>
            <w:tcW w:w="1746" w:type="dxa"/>
          </w:tcPr>
          <w:p w14:paraId="39723ED6">
            <w:pPr>
              <w:pStyle w:val="285"/>
              <w:spacing w:line="360" w:lineRule="auto"/>
              <w:jc w:val="center"/>
              <w:rPr>
                <w:rFonts w:hAnsi="宋体" w:eastAsia="宋体" w:cs="宋体"/>
                <w:color w:val="auto"/>
                <w:sz w:val="24"/>
                <w:szCs w:val="24"/>
                <w:highlight w:val="none"/>
              </w:rPr>
            </w:pPr>
          </w:p>
        </w:tc>
        <w:tc>
          <w:tcPr>
            <w:tcW w:w="1418" w:type="dxa"/>
            <w:vAlign w:val="center"/>
          </w:tcPr>
          <w:p w14:paraId="11FEBA19">
            <w:pPr>
              <w:pStyle w:val="285"/>
              <w:spacing w:line="360" w:lineRule="auto"/>
              <w:jc w:val="center"/>
              <w:rPr>
                <w:rFonts w:hAnsi="宋体" w:eastAsia="宋体" w:cs="宋体"/>
                <w:color w:val="auto"/>
                <w:sz w:val="24"/>
                <w:szCs w:val="24"/>
                <w:highlight w:val="none"/>
              </w:rPr>
            </w:pPr>
          </w:p>
        </w:tc>
        <w:tc>
          <w:tcPr>
            <w:tcW w:w="1947" w:type="dxa"/>
            <w:vAlign w:val="center"/>
          </w:tcPr>
          <w:p w14:paraId="5DD56A91">
            <w:pPr>
              <w:pStyle w:val="285"/>
              <w:spacing w:line="360" w:lineRule="auto"/>
              <w:jc w:val="center"/>
              <w:rPr>
                <w:rFonts w:hAnsi="宋体" w:eastAsia="宋体" w:cs="宋体"/>
                <w:color w:val="auto"/>
                <w:sz w:val="24"/>
                <w:szCs w:val="24"/>
                <w:highlight w:val="none"/>
              </w:rPr>
            </w:pPr>
          </w:p>
        </w:tc>
        <w:tc>
          <w:tcPr>
            <w:tcW w:w="2164" w:type="dxa"/>
            <w:vAlign w:val="center"/>
          </w:tcPr>
          <w:p w14:paraId="237ABDE2">
            <w:pPr>
              <w:pStyle w:val="285"/>
              <w:spacing w:line="360" w:lineRule="auto"/>
              <w:jc w:val="center"/>
              <w:rPr>
                <w:rFonts w:hAnsi="宋体" w:eastAsia="宋体" w:cs="宋体"/>
                <w:color w:val="auto"/>
                <w:sz w:val="24"/>
                <w:szCs w:val="24"/>
                <w:highlight w:val="none"/>
              </w:rPr>
            </w:pPr>
          </w:p>
        </w:tc>
      </w:tr>
      <w:tr w14:paraId="1E83B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F864665">
            <w:pPr>
              <w:pStyle w:val="285"/>
              <w:spacing w:line="360" w:lineRule="auto"/>
              <w:jc w:val="center"/>
              <w:rPr>
                <w:rFonts w:hAnsi="宋体" w:eastAsia="宋体" w:cs="宋体"/>
                <w:color w:val="auto"/>
                <w:sz w:val="24"/>
                <w:szCs w:val="24"/>
                <w:highlight w:val="none"/>
              </w:rPr>
            </w:pPr>
          </w:p>
        </w:tc>
        <w:tc>
          <w:tcPr>
            <w:tcW w:w="1530" w:type="dxa"/>
            <w:vAlign w:val="center"/>
          </w:tcPr>
          <w:p w14:paraId="705C4246">
            <w:pPr>
              <w:pStyle w:val="285"/>
              <w:spacing w:line="360" w:lineRule="auto"/>
              <w:jc w:val="center"/>
              <w:rPr>
                <w:rFonts w:hAnsi="宋体" w:eastAsia="宋体" w:cs="宋体"/>
                <w:color w:val="auto"/>
                <w:sz w:val="24"/>
                <w:szCs w:val="24"/>
                <w:highlight w:val="none"/>
              </w:rPr>
            </w:pPr>
          </w:p>
        </w:tc>
        <w:tc>
          <w:tcPr>
            <w:tcW w:w="1746" w:type="dxa"/>
          </w:tcPr>
          <w:p w14:paraId="7E682C63">
            <w:pPr>
              <w:pStyle w:val="285"/>
              <w:spacing w:line="360" w:lineRule="auto"/>
              <w:jc w:val="center"/>
              <w:rPr>
                <w:rFonts w:hAnsi="宋体" w:eastAsia="宋体" w:cs="宋体"/>
                <w:color w:val="auto"/>
                <w:sz w:val="24"/>
                <w:szCs w:val="24"/>
                <w:highlight w:val="none"/>
              </w:rPr>
            </w:pPr>
          </w:p>
        </w:tc>
        <w:tc>
          <w:tcPr>
            <w:tcW w:w="1418" w:type="dxa"/>
            <w:vAlign w:val="center"/>
          </w:tcPr>
          <w:p w14:paraId="53DDE514">
            <w:pPr>
              <w:pStyle w:val="285"/>
              <w:spacing w:line="360" w:lineRule="auto"/>
              <w:jc w:val="center"/>
              <w:rPr>
                <w:rFonts w:hAnsi="宋体" w:eastAsia="宋体" w:cs="宋体"/>
                <w:color w:val="auto"/>
                <w:sz w:val="24"/>
                <w:szCs w:val="24"/>
                <w:highlight w:val="none"/>
              </w:rPr>
            </w:pPr>
          </w:p>
        </w:tc>
        <w:tc>
          <w:tcPr>
            <w:tcW w:w="1947" w:type="dxa"/>
            <w:vAlign w:val="center"/>
          </w:tcPr>
          <w:p w14:paraId="0429203A">
            <w:pPr>
              <w:pStyle w:val="285"/>
              <w:spacing w:line="360" w:lineRule="auto"/>
              <w:jc w:val="center"/>
              <w:rPr>
                <w:rFonts w:hAnsi="宋体" w:eastAsia="宋体" w:cs="宋体"/>
                <w:color w:val="auto"/>
                <w:sz w:val="24"/>
                <w:szCs w:val="24"/>
                <w:highlight w:val="none"/>
              </w:rPr>
            </w:pPr>
          </w:p>
        </w:tc>
        <w:tc>
          <w:tcPr>
            <w:tcW w:w="2164" w:type="dxa"/>
            <w:vAlign w:val="center"/>
          </w:tcPr>
          <w:p w14:paraId="0A94EFF9">
            <w:pPr>
              <w:pStyle w:val="285"/>
              <w:spacing w:line="360" w:lineRule="auto"/>
              <w:jc w:val="center"/>
              <w:rPr>
                <w:rFonts w:hAnsi="宋体" w:eastAsia="宋体" w:cs="宋体"/>
                <w:color w:val="auto"/>
                <w:sz w:val="24"/>
                <w:szCs w:val="24"/>
                <w:highlight w:val="none"/>
              </w:rPr>
            </w:pPr>
          </w:p>
        </w:tc>
      </w:tr>
      <w:tr w14:paraId="02F4C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72D4DDC8">
            <w:pPr>
              <w:pStyle w:val="285"/>
              <w:spacing w:line="360" w:lineRule="auto"/>
              <w:jc w:val="center"/>
              <w:rPr>
                <w:rFonts w:hAnsi="宋体" w:eastAsia="宋体" w:cs="宋体"/>
                <w:color w:val="auto"/>
                <w:sz w:val="24"/>
                <w:szCs w:val="24"/>
                <w:highlight w:val="none"/>
              </w:rPr>
            </w:pPr>
          </w:p>
        </w:tc>
        <w:tc>
          <w:tcPr>
            <w:tcW w:w="1530" w:type="dxa"/>
            <w:vAlign w:val="center"/>
          </w:tcPr>
          <w:p w14:paraId="3A6A82B4">
            <w:pPr>
              <w:pStyle w:val="285"/>
              <w:spacing w:line="360" w:lineRule="auto"/>
              <w:jc w:val="center"/>
              <w:rPr>
                <w:rFonts w:hAnsi="宋体" w:eastAsia="宋体" w:cs="宋体"/>
                <w:color w:val="auto"/>
                <w:sz w:val="24"/>
                <w:szCs w:val="24"/>
                <w:highlight w:val="none"/>
              </w:rPr>
            </w:pPr>
          </w:p>
        </w:tc>
        <w:tc>
          <w:tcPr>
            <w:tcW w:w="1746" w:type="dxa"/>
          </w:tcPr>
          <w:p w14:paraId="1033C35B">
            <w:pPr>
              <w:pStyle w:val="285"/>
              <w:spacing w:line="360" w:lineRule="auto"/>
              <w:jc w:val="center"/>
              <w:rPr>
                <w:rFonts w:hAnsi="宋体" w:eastAsia="宋体" w:cs="宋体"/>
                <w:color w:val="auto"/>
                <w:sz w:val="24"/>
                <w:szCs w:val="24"/>
                <w:highlight w:val="none"/>
              </w:rPr>
            </w:pPr>
          </w:p>
        </w:tc>
        <w:tc>
          <w:tcPr>
            <w:tcW w:w="1418" w:type="dxa"/>
            <w:vAlign w:val="center"/>
          </w:tcPr>
          <w:p w14:paraId="0B15D684">
            <w:pPr>
              <w:pStyle w:val="285"/>
              <w:spacing w:line="360" w:lineRule="auto"/>
              <w:jc w:val="center"/>
              <w:rPr>
                <w:rFonts w:hAnsi="宋体" w:eastAsia="宋体" w:cs="宋体"/>
                <w:color w:val="auto"/>
                <w:sz w:val="24"/>
                <w:szCs w:val="24"/>
                <w:highlight w:val="none"/>
              </w:rPr>
            </w:pPr>
          </w:p>
        </w:tc>
        <w:tc>
          <w:tcPr>
            <w:tcW w:w="1947" w:type="dxa"/>
            <w:vAlign w:val="center"/>
          </w:tcPr>
          <w:p w14:paraId="42CB7089">
            <w:pPr>
              <w:pStyle w:val="285"/>
              <w:spacing w:line="360" w:lineRule="auto"/>
              <w:jc w:val="center"/>
              <w:rPr>
                <w:rFonts w:hAnsi="宋体" w:eastAsia="宋体" w:cs="宋体"/>
                <w:color w:val="auto"/>
                <w:sz w:val="24"/>
                <w:szCs w:val="24"/>
                <w:highlight w:val="none"/>
              </w:rPr>
            </w:pPr>
          </w:p>
        </w:tc>
        <w:tc>
          <w:tcPr>
            <w:tcW w:w="2164" w:type="dxa"/>
            <w:vAlign w:val="center"/>
          </w:tcPr>
          <w:p w14:paraId="17E1DA28">
            <w:pPr>
              <w:pStyle w:val="285"/>
              <w:spacing w:line="360" w:lineRule="auto"/>
              <w:jc w:val="center"/>
              <w:rPr>
                <w:rFonts w:hAnsi="宋体" w:eastAsia="宋体" w:cs="宋体"/>
                <w:color w:val="auto"/>
                <w:sz w:val="24"/>
                <w:szCs w:val="24"/>
                <w:highlight w:val="none"/>
              </w:rPr>
            </w:pPr>
          </w:p>
        </w:tc>
      </w:tr>
    </w:tbl>
    <w:p w14:paraId="2D619892">
      <w:pPr>
        <w:spacing w:line="360" w:lineRule="auto"/>
        <w:ind w:firstLine="420"/>
        <w:rPr>
          <w:rFonts w:hAnsi="宋体"/>
          <w:color w:val="auto"/>
          <w:sz w:val="24"/>
          <w:szCs w:val="24"/>
          <w:highlight w:val="none"/>
        </w:rPr>
      </w:pPr>
      <w:r>
        <w:rPr>
          <w:rFonts w:hint="eastAsia" w:hAnsi="宋体"/>
          <w:color w:val="auto"/>
          <w:sz w:val="24"/>
          <w:szCs w:val="24"/>
          <w:highlight w:val="none"/>
        </w:rPr>
        <w:t>附：1.根据招标文件及评分标书填写，并附相关证明文件；2、表格不够填写可添加。</w:t>
      </w:r>
    </w:p>
    <w:p w14:paraId="792FEA0A">
      <w:pPr>
        <w:spacing w:line="360" w:lineRule="auto"/>
        <w:rPr>
          <w:rFonts w:hAnsi="宋体"/>
          <w:color w:val="auto"/>
          <w:sz w:val="24"/>
          <w:szCs w:val="24"/>
          <w:highlight w:val="none"/>
        </w:rPr>
      </w:pPr>
    </w:p>
    <w:p w14:paraId="2B3E8C7E">
      <w:pPr>
        <w:spacing w:line="360" w:lineRule="auto"/>
        <w:rPr>
          <w:rFonts w:hAnsi="宋体"/>
          <w:color w:val="auto"/>
          <w:sz w:val="24"/>
          <w:szCs w:val="24"/>
          <w:highlight w:val="none"/>
        </w:rPr>
      </w:pPr>
    </w:p>
    <w:p w14:paraId="2E8E1FA1">
      <w:pPr>
        <w:spacing w:line="360" w:lineRule="auto"/>
        <w:rPr>
          <w:rFonts w:hAnsi="宋体"/>
          <w:color w:val="auto"/>
          <w:sz w:val="24"/>
          <w:szCs w:val="24"/>
          <w:highlight w:val="none"/>
        </w:rPr>
      </w:pPr>
    </w:p>
    <w:p w14:paraId="78287257">
      <w:pPr>
        <w:spacing w:line="360" w:lineRule="auto"/>
        <w:rPr>
          <w:rFonts w:hAnsi="宋体"/>
          <w:color w:val="auto"/>
          <w:sz w:val="24"/>
          <w:szCs w:val="24"/>
          <w:highlight w:val="none"/>
        </w:rPr>
      </w:pPr>
    </w:p>
    <w:p w14:paraId="40BF3DB0">
      <w:pPr>
        <w:spacing w:line="360" w:lineRule="auto"/>
        <w:ind w:firstLine="4320"/>
        <w:rPr>
          <w:rFonts w:hAnsi="宋体"/>
          <w:color w:val="auto"/>
          <w:sz w:val="24"/>
          <w:szCs w:val="24"/>
          <w:highlight w:val="none"/>
        </w:rPr>
      </w:pPr>
      <w:r>
        <w:rPr>
          <w:rFonts w:hint="eastAsia" w:hAnsi="宋体"/>
          <w:color w:val="auto"/>
          <w:sz w:val="24"/>
          <w:szCs w:val="24"/>
          <w:highlight w:val="none"/>
        </w:rPr>
        <w:t xml:space="preserve">投标单位（单位盖章）： </w:t>
      </w:r>
    </w:p>
    <w:p w14:paraId="3B88AAF7">
      <w:pPr>
        <w:spacing w:line="360" w:lineRule="auto"/>
        <w:ind w:firstLine="4320"/>
        <w:rPr>
          <w:rFonts w:hAnsi="宋体"/>
          <w:color w:val="auto"/>
          <w:sz w:val="24"/>
          <w:szCs w:val="24"/>
          <w:highlight w:val="none"/>
        </w:rPr>
      </w:pPr>
      <w:r>
        <w:rPr>
          <w:rFonts w:hint="eastAsia" w:hAnsi="宋体"/>
          <w:color w:val="auto"/>
          <w:sz w:val="24"/>
          <w:szCs w:val="24"/>
          <w:highlight w:val="none"/>
        </w:rPr>
        <w:t>法定代表人或代理人（签字或盖章）：</w:t>
      </w:r>
    </w:p>
    <w:p w14:paraId="23D42232">
      <w:pPr>
        <w:spacing w:line="360" w:lineRule="auto"/>
        <w:ind w:firstLine="4320"/>
        <w:rPr>
          <w:rFonts w:hAnsi="宋体"/>
          <w:color w:val="auto"/>
          <w:sz w:val="24"/>
          <w:szCs w:val="24"/>
          <w:highlight w:val="none"/>
        </w:rPr>
      </w:pPr>
      <w:r>
        <w:rPr>
          <w:rFonts w:hint="eastAsia" w:hAnsi="宋体"/>
          <w:color w:val="auto"/>
          <w:sz w:val="24"/>
          <w:szCs w:val="24"/>
          <w:highlight w:val="none"/>
        </w:rPr>
        <w:t>日期： 年 月 日</w:t>
      </w:r>
    </w:p>
    <w:p w14:paraId="2443D8C3">
      <w:pPr>
        <w:spacing w:line="360" w:lineRule="auto"/>
        <w:rPr>
          <w:rFonts w:hAnsi="宋体"/>
          <w:color w:val="auto"/>
          <w:sz w:val="24"/>
          <w:szCs w:val="24"/>
          <w:highlight w:val="none"/>
        </w:rPr>
      </w:pPr>
    </w:p>
    <w:p w14:paraId="1C7F58D7">
      <w:pPr>
        <w:spacing w:line="360" w:lineRule="auto"/>
        <w:rPr>
          <w:rFonts w:hAnsi="宋体"/>
          <w:color w:val="auto"/>
          <w:sz w:val="24"/>
          <w:szCs w:val="24"/>
          <w:highlight w:val="none"/>
        </w:rPr>
      </w:pPr>
    </w:p>
    <w:p w14:paraId="16F58416">
      <w:pPr>
        <w:spacing w:line="360" w:lineRule="auto"/>
        <w:rPr>
          <w:rFonts w:hAnsi="宋体"/>
          <w:color w:val="auto"/>
          <w:sz w:val="24"/>
          <w:szCs w:val="24"/>
          <w:highlight w:val="none"/>
        </w:rPr>
      </w:pPr>
    </w:p>
    <w:p w14:paraId="58163A08">
      <w:pPr>
        <w:spacing w:line="360" w:lineRule="auto"/>
        <w:rPr>
          <w:rFonts w:hAnsi="宋体"/>
          <w:color w:val="auto"/>
          <w:sz w:val="24"/>
          <w:szCs w:val="24"/>
          <w:highlight w:val="none"/>
        </w:rPr>
      </w:pPr>
    </w:p>
    <w:p w14:paraId="7E4DF22E">
      <w:pPr>
        <w:spacing w:line="360" w:lineRule="auto"/>
        <w:rPr>
          <w:rFonts w:hAnsi="宋体"/>
          <w:color w:val="auto"/>
          <w:sz w:val="24"/>
          <w:szCs w:val="24"/>
          <w:highlight w:val="none"/>
        </w:rPr>
      </w:pPr>
    </w:p>
    <w:p w14:paraId="1CDCA3D1">
      <w:pPr>
        <w:spacing w:line="360" w:lineRule="auto"/>
        <w:rPr>
          <w:rFonts w:hAnsi="宋体"/>
          <w:color w:val="auto"/>
          <w:sz w:val="24"/>
          <w:szCs w:val="24"/>
          <w:highlight w:val="none"/>
        </w:rPr>
      </w:pPr>
    </w:p>
    <w:p w14:paraId="0CDEEF9A">
      <w:pPr>
        <w:spacing w:line="360" w:lineRule="auto"/>
        <w:rPr>
          <w:rFonts w:hAnsi="宋体"/>
          <w:color w:val="auto"/>
          <w:sz w:val="24"/>
          <w:szCs w:val="24"/>
          <w:highlight w:val="none"/>
        </w:rPr>
      </w:pPr>
    </w:p>
    <w:p w14:paraId="3B44E00F">
      <w:pPr>
        <w:spacing w:line="360" w:lineRule="auto"/>
        <w:rPr>
          <w:rFonts w:hAnsi="宋体"/>
          <w:color w:val="auto"/>
          <w:sz w:val="24"/>
          <w:szCs w:val="24"/>
          <w:highlight w:val="none"/>
        </w:rPr>
      </w:pPr>
    </w:p>
    <w:p w14:paraId="7DD3C216">
      <w:pPr>
        <w:spacing w:line="360" w:lineRule="auto"/>
        <w:rPr>
          <w:rFonts w:hAnsi="宋体"/>
          <w:color w:val="auto"/>
          <w:sz w:val="24"/>
          <w:szCs w:val="24"/>
          <w:highlight w:val="none"/>
        </w:rPr>
      </w:pPr>
    </w:p>
    <w:p w14:paraId="48F74EA3">
      <w:pPr>
        <w:spacing w:line="360" w:lineRule="auto"/>
        <w:rPr>
          <w:rFonts w:hAnsi="宋体"/>
          <w:color w:val="auto"/>
          <w:sz w:val="24"/>
          <w:szCs w:val="24"/>
          <w:highlight w:val="none"/>
        </w:rPr>
      </w:pPr>
    </w:p>
    <w:p w14:paraId="524B17C4">
      <w:pPr>
        <w:spacing w:line="360" w:lineRule="auto"/>
        <w:rPr>
          <w:rFonts w:hAnsi="宋体"/>
          <w:color w:val="auto"/>
          <w:sz w:val="24"/>
          <w:szCs w:val="24"/>
          <w:highlight w:val="none"/>
        </w:rPr>
      </w:pPr>
    </w:p>
    <w:p w14:paraId="2E04B08F">
      <w:pPr>
        <w:pStyle w:val="3"/>
        <w:spacing w:line="360" w:lineRule="auto"/>
        <w:ind w:left="0"/>
        <w:rPr>
          <w:rFonts w:hAnsi="宋体"/>
          <w:bCs w:val="0"/>
          <w:color w:val="auto"/>
          <w:sz w:val="24"/>
          <w:szCs w:val="24"/>
          <w:highlight w:val="none"/>
        </w:rPr>
      </w:pPr>
      <w:r>
        <w:rPr>
          <w:rFonts w:hAnsi="宋体"/>
          <w:bCs w:val="0"/>
          <w:color w:val="auto"/>
          <w:sz w:val="24"/>
          <w:szCs w:val="24"/>
          <w:highlight w:val="none"/>
        </w:rPr>
        <w:t>11</w:t>
      </w:r>
      <w:r>
        <w:rPr>
          <w:rFonts w:hint="eastAsia" w:hAnsi="宋体"/>
          <w:bCs w:val="0"/>
          <w:color w:val="auto"/>
          <w:sz w:val="24"/>
          <w:szCs w:val="24"/>
          <w:highlight w:val="none"/>
        </w:rPr>
        <w:t>、拟投入本项目的服务人员情况一览表</w:t>
      </w:r>
    </w:p>
    <w:p w14:paraId="7304F53A">
      <w:pPr>
        <w:pStyle w:val="16"/>
        <w:spacing w:before="0" w:line="360" w:lineRule="auto"/>
        <w:ind w:left="0"/>
        <w:jc w:val="both"/>
        <w:rPr>
          <w:rFonts w:hAnsi="宋体"/>
          <w:color w:val="auto"/>
          <w:sz w:val="24"/>
          <w:szCs w:val="24"/>
          <w:highlight w:val="none"/>
        </w:rPr>
      </w:pPr>
    </w:p>
    <w:p w14:paraId="7A07CF36">
      <w:pPr>
        <w:spacing w:line="360" w:lineRule="auto"/>
        <w:jc w:val="center"/>
        <w:rPr>
          <w:rFonts w:hAnsi="宋体"/>
          <w:b/>
          <w:color w:val="auto"/>
          <w:sz w:val="24"/>
          <w:szCs w:val="24"/>
          <w:highlight w:val="none"/>
        </w:rPr>
      </w:pPr>
      <w:r>
        <w:rPr>
          <w:rFonts w:hint="eastAsia" w:hAnsi="宋体"/>
          <w:b/>
          <w:color w:val="auto"/>
          <w:sz w:val="24"/>
          <w:szCs w:val="24"/>
          <w:highlight w:val="none"/>
        </w:rPr>
        <w:t>拟投入本项目的服务人员情况一览表</w:t>
      </w:r>
    </w:p>
    <w:p w14:paraId="7BAA2CD7">
      <w:pPr>
        <w:spacing w:line="360" w:lineRule="auto"/>
        <w:rPr>
          <w:rFonts w:hAnsi="宋体"/>
          <w:b/>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采购项目编号：</w:t>
      </w:r>
    </w:p>
    <w:tbl>
      <w:tblPr>
        <w:tblStyle w:val="4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1"/>
        <w:gridCol w:w="1674"/>
        <w:gridCol w:w="1596"/>
        <w:gridCol w:w="1018"/>
        <w:gridCol w:w="1016"/>
        <w:gridCol w:w="1161"/>
        <w:gridCol w:w="1453"/>
        <w:gridCol w:w="1038"/>
      </w:tblGrid>
      <w:tr w14:paraId="1DEF5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69B837FC">
            <w:pPr>
              <w:spacing w:line="360" w:lineRule="auto"/>
              <w:jc w:val="center"/>
              <w:rPr>
                <w:rFonts w:hAnsi="宋体"/>
                <w:color w:val="auto"/>
                <w:sz w:val="24"/>
                <w:highlight w:val="none"/>
              </w:rPr>
            </w:pPr>
            <w:r>
              <w:rPr>
                <w:rFonts w:hint="eastAsia" w:hAnsi="宋体"/>
                <w:color w:val="auto"/>
                <w:sz w:val="24"/>
                <w:highlight w:val="none"/>
              </w:rPr>
              <w:t>序号</w:t>
            </w:r>
          </w:p>
        </w:tc>
        <w:tc>
          <w:tcPr>
            <w:tcW w:w="885" w:type="pct"/>
            <w:vAlign w:val="center"/>
          </w:tcPr>
          <w:p w14:paraId="455CAC87">
            <w:pPr>
              <w:spacing w:line="360" w:lineRule="auto"/>
              <w:jc w:val="center"/>
              <w:rPr>
                <w:rFonts w:hAnsi="宋体"/>
                <w:color w:val="auto"/>
                <w:sz w:val="24"/>
                <w:highlight w:val="none"/>
              </w:rPr>
            </w:pPr>
            <w:r>
              <w:rPr>
                <w:rFonts w:hint="eastAsia" w:hAnsi="宋体"/>
                <w:color w:val="auto"/>
                <w:sz w:val="24"/>
                <w:highlight w:val="none"/>
              </w:rPr>
              <w:t>岗位</w:t>
            </w:r>
          </w:p>
        </w:tc>
        <w:tc>
          <w:tcPr>
            <w:tcW w:w="844" w:type="pct"/>
            <w:vAlign w:val="center"/>
          </w:tcPr>
          <w:p w14:paraId="03EAFE2A">
            <w:pPr>
              <w:spacing w:line="360" w:lineRule="auto"/>
              <w:jc w:val="center"/>
              <w:rPr>
                <w:rFonts w:hAnsi="宋体"/>
                <w:color w:val="auto"/>
                <w:sz w:val="24"/>
                <w:highlight w:val="none"/>
              </w:rPr>
            </w:pPr>
            <w:r>
              <w:rPr>
                <w:rFonts w:hint="eastAsia" w:hAnsi="宋体"/>
                <w:color w:val="auto"/>
                <w:sz w:val="24"/>
                <w:highlight w:val="none"/>
              </w:rPr>
              <w:t>姓名</w:t>
            </w:r>
          </w:p>
        </w:tc>
        <w:tc>
          <w:tcPr>
            <w:tcW w:w="538" w:type="pct"/>
            <w:vAlign w:val="center"/>
          </w:tcPr>
          <w:p w14:paraId="6C995B67">
            <w:pPr>
              <w:spacing w:line="360" w:lineRule="auto"/>
              <w:jc w:val="center"/>
              <w:rPr>
                <w:rFonts w:hAnsi="宋体"/>
                <w:color w:val="auto"/>
                <w:sz w:val="24"/>
                <w:highlight w:val="none"/>
              </w:rPr>
            </w:pPr>
            <w:r>
              <w:rPr>
                <w:rFonts w:hint="eastAsia" w:hAnsi="宋体"/>
                <w:color w:val="auto"/>
                <w:sz w:val="24"/>
                <w:highlight w:val="none"/>
              </w:rPr>
              <w:t>性别</w:t>
            </w:r>
          </w:p>
        </w:tc>
        <w:tc>
          <w:tcPr>
            <w:tcW w:w="537" w:type="pct"/>
            <w:vAlign w:val="center"/>
          </w:tcPr>
          <w:p w14:paraId="689F2671">
            <w:pPr>
              <w:spacing w:line="360" w:lineRule="auto"/>
              <w:jc w:val="center"/>
              <w:rPr>
                <w:rFonts w:hAnsi="宋体"/>
                <w:color w:val="auto"/>
                <w:sz w:val="24"/>
                <w:highlight w:val="none"/>
              </w:rPr>
            </w:pPr>
            <w:r>
              <w:rPr>
                <w:rFonts w:hint="eastAsia" w:hAnsi="宋体"/>
                <w:color w:val="auto"/>
                <w:sz w:val="24"/>
                <w:highlight w:val="none"/>
              </w:rPr>
              <w:t>年龄</w:t>
            </w:r>
          </w:p>
        </w:tc>
        <w:tc>
          <w:tcPr>
            <w:tcW w:w="614" w:type="pct"/>
            <w:vAlign w:val="center"/>
          </w:tcPr>
          <w:p w14:paraId="4F0DC1DB">
            <w:pPr>
              <w:spacing w:line="360" w:lineRule="auto"/>
              <w:jc w:val="center"/>
              <w:rPr>
                <w:rFonts w:hAnsi="宋体"/>
                <w:color w:val="auto"/>
                <w:sz w:val="24"/>
                <w:highlight w:val="none"/>
              </w:rPr>
            </w:pPr>
            <w:r>
              <w:rPr>
                <w:rFonts w:hint="eastAsia" w:hAnsi="宋体"/>
                <w:color w:val="auto"/>
                <w:sz w:val="24"/>
                <w:highlight w:val="none"/>
              </w:rPr>
              <w:t>学历</w:t>
            </w:r>
          </w:p>
        </w:tc>
        <w:tc>
          <w:tcPr>
            <w:tcW w:w="768" w:type="pct"/>
            <w:vAlign w:val="center"/>
          </w:tcPr>
          <w:p w14:paraId="50B9AF1E">
            <w:pPr>
              <w:spacing w:line="360" w:lineRule="auto"/>
              <w:jc w:val="center"/>
              <w:rPr>
                <w:rFonts w:hAnsi="宋体"/>
                <w:color w:val="auto"/>
                <w:sz w:val="24"/>
                <w:highlight w:val="none"/>
              </w:rPr>
            </w:pPr>
            <w:r>
              <w:rPr>
                <w:rFonts w:hint="eastAsia" w:hAnsi="宋体"/>
                <w:color w:val="auto"/>
                <w:sz w:val="24"/>
                <w:highlight w:val="none"/>
              </w:rPr>
              <w:t>资格/职称</w:t>
            </w:r>
          </w:p>
        </w:tc>
        <w:tc>
          <w:tcPr>
            <w:tcW w:w="549" w:type="pct"/>
            <w:vAlign w:val="center"/>
          </w:tcPr>
          <w:p w14:paraId="6AE6C02B">
            <w:pPr>
              <w:spacing w:line="360" w:lineRule="auto"/>
              <w:jc w:val="center"/>
              <w:rPr>
                <w:rFonts w:hAnsi="宋体"/>
                <w:color w:val="auto"/>
                <w:sz w:val="24"/>
                <w:highlight w:val="none"/>
              </w:rPr>
            </w:pPr>
            <w:r>
              <w:rPr>
                <w:rFonts w:hint="eastAsia" w:hAnsi="宋体"/>
                <w:color w:val="auto"/>
                <w:sz w:val="24"/>
                <w:highlight w:val="none"/>
              </w:rPr>
              <w:t>备注</w:t>
            </w:r>
          </w:p>
        </w:tc>
      </w:tr>
      <w:tr w14:paraId="20B0E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65B45884">
            <w:pPr>
              <w:spacing w:line="360" w:lineRule="auto"/>
              <w:jc w:val="center"/>
              <w:rPr>
                <w:rFonts w:hAnsi="宋体"/>
                <w:color w:val="auto"/>
                <w:sz w:val="24"/>
                <w:highlight w:val="none"/>
              </w:rPr>
            </w:pPr>
            <w:r>
              <w:rPr>
                <w:rFonts w:hint="eastAsia" w:hAnsi="宋体"/>
                <w:color w:val="auto"/>
                <w:sz w:val="24"/>
                <w:highlight w:val="none"/>
              </w:rPr>
              <w:t>1</w:t>
            </w:r>
          </w:p>
        </w:tc>
        <w:tc>
          <w:tcPr>
            <w:tcW w:w="885" w:type="pct"/>
            <w:vAlign w:val="center"/>
          </w:tcPr>
          <w:p w14:paraId="3487E8FA">
            <w:pPr>
              <w:spacing w:line="360" w:lineRule="auto"/>
              <w:jc w:val="center"/>
              <w:rPr>
                <w:rFonts w:hAnsi="宋体"/>
                <w:color w:val="auto"/>
                <w:sz w:val="24"/>
                <w:highlight w:val="none"/>
              </w:rPr>
            </w:pPr>
            <w:r>
              <w:rPr>
                <w:rFonts w:hint="eastAsia" w:hAnsi="宋体"/>
                <w:color w:val="auto"/>
                <w:sz w:val="24"/>
                <w:highlight w:val="none"/>
              </w:rPr>
              <w:t>项目负责人</w:t>
            </w:r>
          </w:p>
        </w:tc>
        <w:tc>
          <w:tcPr>
            <w:tcW w:w="844" w:type="pct"/>
            <w:vAlign w:val="center"/>
          </w:tcPr>
          <w:p w14:paraId="76FAD01B">
            <w:pPr>
              <w:spacing w:line="360" w:lineRule="auto"/>
              <w:jc w:val="center"/>
              <w:rPr>
                <w:rFonts w:hAnsi="宋体"/>
                <w:color w:val="auto"/>
                <w:sz w:val="24"/>
                <w:highlight w:val="none"/>
              </w:rPr>
            </w:pPr>
          </w:p>
        </w:tc>
        <w:tc>
          <w:tcPr>
            <w:tcW w:w="538" w:type="pct"/>
            <w:vAlign w:val="center"/>
          </w:tcPr>
          <w:p w14:paraId="0EA2EC73">
            <w:pPr>
              <w:spacing w:line="360" w:lineRule="auto"/>
              <w:jc w:val="center"/>
              <w:rPr>
                <w:rFonts w:hAnsi="宋体"/>
                <w:color w:val="auto"/>
                <w:sz w:val="24"/>
                <w:highlight w:val="none"/>
              </w:rPr>
            </w:pPr>
          </w:p>
        </w:tc>
        <w:tc>
          <w:tcPr>
            <w:tcW w:w="537" w:type="pct"/>
            <w:vAlign w:val="center"/>
          </w:tcPr>
          <w:p w14:paraId="27EDCD74">
            <w:pPr>
              <w:spacing w:line="360" w:lineRule="auto"/>
              <w:jc w:val="center"/>
              <w:rPr>
                <w:rFonts w:hAnsi="宋体"/>
                <w:color w:val="auto"/>
                <w:sz w:val="24"/>
                <w:highlight w:val="none"/>
              </w:rPr>
            </w:pPr>
          </w:p>
        </w:tc>
        <w:tc>
          <w:tcPr>
            <w:tcW w:w="614" w:type="pct"/>
            <w:vAlign w:val="center"/>
          </w:tcPr>
          <w:p w14:paraId="130B93A5">
            <w:pPr>
              <w:spacing w:line="360" w:lineRule="auto"/>
              <w:jc w:val="center"/>
              <w:rPr>
                <w:rFonts w:hAnsi="宋体"/>
                <w:color w:val="auto"/>
                <w:sz w:val="24"/>
                <w:highlight w:val="none"/>
              </w:rPr>
            </w:pPr>
          </w:p>
        </w:tc>
        <w:tc>
          <w:tcPr>
            <w:tcW w:w="768" w:type="pct"/>
            <w:vAlign w:val="center"/>
          </w:tcPr>
          <w:p w14:paraId="6AFCAC44">
            <w:pPr>
              <w:spacing w:line="360" w:lineRule="auto"/>
              <w:jc w:val="center"/>
              <w:rPr>
                <w:rFonts w:hAnsi="宋体"/>
                <w:color w:val="auto"/>
                <w:sz w:val="24"/>
                <w:highlight w:val="none"/>
              </w:rPr>
            </w:pPr>
          </w:p>
        </w:tc>
        <w:tc>
          <w:tcPr>
            <w:tcW w:w="549" w:type="pct"/>
            <w:vAlign w:val="center"/>
          </w:tcPr>
          <w:p w14:paraId="7D7C532A">
            <w:pPr>
              <w:spacing w:line="360" w:lineRule="auto"/>
              <w:jc w:val="center"/>
              <w:rPr>
                <w:rFonts w:hAnsi="宋体"/>
                <w:color w:val="auto"/>
                <w:sz w:val="24"/>
                <w:highlight w:val="none"/>
              </w:rPr>
            </w:pPr>
          </w:p>
        </w:tc>
      </w:tr>
      <w:tr w14:paraId="6EBD3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36E1C67C">
            <w:pPr>
              <w:spacing w:line="360" w:lineRule="auto"/>
              <w:jc w:val="center"/>
              <w:rPr>
                <w:rFonts w:hAnsi="宋体"/>
                <w:color w:val="auto"/>
                <w:sz w:val="24"/>
                <w:highlight w:val="none"/>
              </w:rPr>
            </w:pPr>
            <w:r>
              <w:rPr>
                <w:rFonts w:hint="eastAsia" w:hAnsi="宋体"/>
                <w:color w:val="auto"/>
                <w:sz w:val="24"/>
                <w:highlight w:val="none"/>
              </w:rPr>
              <w:t>2</w:t>
            </w:r>
          </w:p>
        </w:tc>
        <w:tc>
          <w:tcPr>
            <w:tcW w:w="885" w:type="pct"/>
            <w:vAlign w:val="center"/>
          </w:tcPr>
          <w:p w14:paraId="3CF99130">
            <w:pPr>
              <w:spacing w:line="360" w:lineRule="auto"/>
              <w:jc w:val="center"/>
              <w:rPr>
                <w:rFonts w:hAnsi="宋体"/>
                <w:color w:val="auto"/>
                <w:sz w:val="24"/>
                <w:highlight w:val="none"/>
              </w:rPr>
            </w:pPr>
          </w:p>
        </w:tc>
        <w:tc>
          <w:tcPr>
            <w:tcW w:w="844" w:type="pct"/>
            <w:vAlign w:val="center"/>
          </w:tcPr>
          <w:p w14:paraId="342D4216">
            <w:pPr>
              <w:spacing w:line="360" w:lineRule="auto"/>
              <w:jc w:val="center"/>
              <w:rPr>
                <w:rFonts w:hAnsi="宋体"/>
                <w:color w:val="auto"/>
                <w:sz w:val="24"/>
                <w:highlight w:val="none"/>
              </w:rPr>
            </w:pPr>
          </w:p>
        </w:tc>
        <w:tc>
          <w:tcPr>
            <w:tcW w:w="538" w:type="pct"/>
            <w:vAlign w:val="center"/>
          </w:tcPr>
          <w:p w14:paraId="7B65D4E4">
            <w:pPr>
              <w:spacing w:line="360" w:lineRule="auto"/>
              <w:jc w:val="center"/>
              <w:rPr>
                <w:rFonts w:hAnsi="宋体"/>
                <w:color w:val="auto"/>
                <w:sz w:val="24"/>
                <w:highlight w:val="none"/>
              </w:rPr>
            </w:pPr>
          </w:p>
        </w:tc>
        <w:tc>
          <w:tcPr>
            <w:tcW w:w="537" w:type="pct"/>
            <w:vAlign w:val="center"/>
          </w:tcPr>
          <w:p w14:paraId="26E80800">
            <w:pPr>
              <w:spacing w:line="360" w:lineRule="auto"/>
              <w:jc w:val="center"/>
              <w:rPr>
                <w:rFonts w:hAnsi="宋体"/>
                <w:color w:val="auto"/>
                <w:sz w:val="24"/>
                <w:highlight w:val="none"/>
              </w:rPr>
            </w:pPr>
          </w:p>
        </w:tc>
        <w:tc>
          <w:tcPr>
            <w:tcW w:w="614" w:type="pct"/>
            <w:vAlign w:val="center"/>
          </w:tcPr>
          <w:p w14:paraId="35D8667A">
            <w:pPr>
              <w:spacing w:line="360" w:lineRule="auto"/>
              <w:jc w:val="center"/>
              <w:rPr>
                <w:rFonts w:hAnsi="宋体"/>
                <w:color w:val="auto"/>
                <w:sz w:val="24"/>
                <w:highlight w:val="none"/>
              </w:rPr>
            </w:pPr>
          </w:p>
        </w:tc>
        <w:tc>
          <w:tcPr>
            <w:tcW w:w="768" w:type="pct"/>
            <w:vAlign w:val="center"/>
          </w:tcPr>
          <w:p w14:paraId="1624CF94">
            <w:pPr>
              <w:spacing w:line="360" w:lineRule="auto"/>
              <w:jc w:val="center"/>
              <w:rPr>
                <w:rFonts w:hAnsi="宋体"/>
                <w:color w:val="auto"/>
                <w:sz w:val="24"/>
                <w:highlight w:val="none"/>
              </w:rPr>
            </w:pPr>
          </w:p>
        </w:tc>
        <w:tc>
          <w:tcPr>
            <w:tcW w:w="549" w:type="pct"/>
            <w:vAlign w:val="center"/>
          </w:tcPr>
          <w:p w14:paraId="508B266E">
            <w:pPr>
              <w:spacing w:line="360" w:lineRule="auto"/>
              <w:jc w:val="center"/>
              <w:rPr>
                <w:rFonts w:hAnsi="宋体"/>
                <w:color w:val="auto"/>
                <w:sz w:val="24"/>
                <w:highlight w:val="none"/>
              </w:rPr>
            </w:pPr>
          </w:p>
        </w:tc>
      </w:tr>
      <w:tr w14:paraId="21B8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70D87F7A">
            <w:pPr>
              <w:spacing w:line="360" w:lineRule="auto"/>
              <w:jc w:val="center"/>
              <w:rPr>
                <w:rFonts w:hAnsi="宋体"/>
                <w:color w:val="auto"/>
                <w:sz w:val="24"/>
                <w:highlight w:val="none"/>
              </w:rPr>
            </w:pPr>
            <w:r>
              <w:rPr>
                <w:rFonts w:hint="eastAsia" w:hAnsi="宋体"/>
                <w:color w:val="auto"/>
                <w:sz w:val="24"/>
                <w:highlight w:val="none"/>
              </w:rPr>
              <w:t>3</w:t>
            </w:r>
          </w:p>
        </w:tc>
        <w:tc>
          <w:tcPr>
            <w:tcW w:w="885" w:type="pct"/>
            <w:vAlign w:val="center"/>
          </w:tcPr>
          <w:p w14:paraId="33FF0182">
            <w:pPr>
              <w:spacing w:line="360" w:lineRule="auto"/>
              <w:jc w:val="center"/>
              <w:rPr>
                <w:rFonts w:hAnsi="宋体"/>
                <w:color w:val="auto"/>
                <w:sz w:val="24"/>
                <w:highlight w:val="none"/>
              </w:rPr>
            </w:pPr>
          </w:p>
        </w:tc>
        <w:tc>
          <w:tcPr>
            <w:tcW w:w="844" w:type="pct"/>
            <w:vAlign w:val="center"/>
          </w:tcPr>
          <w:p w14:paraId="2DB85C77">
            <w:pPr>
              <w:spacing w:line="360" w:lineRule="auto"/>
              <w:jc w:val="center"/>
              <w:rPr>
                <w:rFonts w:hAnsi="宋体"/>
                <w:color w:val="auto"/>
                <w:sz w:val="24"/>
                <w:highlight w:val="none"/>
              </w:rPr>
            </w:pPr>
          </w:p>
        </w:tc>
        <w:tc>
          <w:tcPr>
            <w:tcW w:w="538" w:type="pct"/>
            <w:vAlign w:val="center"/>
          </w:tcPr>
          <w:p w14:paraId="356425E7">
            <w:pPr>
              <w:spacing w:line="360" w:lineRule="auto"/>
              <w:jc w:val="center"/>
              <w:rPr>
                <w:rFonts w:hAnsi="宋体"/>
                <w:color w:val="auto"/>
                <w:sz w:val="24"/>
                <w:highlight w:val="none"/>
              </w:rPr>
            </w:pPr>
          </w:p>
        </w:tc>
        <w:tc>
          <w:tcPr>
            <w:tcW w:w="537" w:type="pct"/>
            <w:vAlign w:val="center"/>
          </w:tcPr>
          <w:p w14:paraId="74CEBEF0">
            <w:pPr>
              <w:spacing w:line="360" w:lineRule="auto"/>
              <w:jc w:val="center"/>
              <w:rPr>
                <w:rFonts w:hAnsi="宋体"/>
                <w:color w:val="auto"/>
                <w:sz w:val="24"/>
                <w:highlight w:val="none"/>
              </w:rPr>
            </w:pPr>
          </w:p>
        </w:tc>
        <w:tc>
          <w:tcPr>
            <w:tcW w:w="614" w:type="pct"/>
            <w:vAlign w:val="center"/>
          </w:tcPr>
          <w:p w14:paraId="780809AB">
            <w:pPr>
              <w:spacing w:line="360" w:lineRule="auto"/>
              <w:jc w:val="center"/>
              <w:rPr>
                <w:rFonts w:hAnsi="宋体"/>
                <w:color w:val="auto"/>
                <w:sz w:val="24"/>
                <w:highlight w:val="none"/>
              </w:rPr>
            </w:pPr>
          </w:p>
        </w:tc>
        <w:tc>
          <w:tcPr>
            <w:tcW w:w="768" w:type="pct"/>
            <w:vAlign w:val="center"/>
          </w:tcPr>
          <w:p w14:paraId="6DCF67F3">
            <w:pPr>
              <w:spacing w:line="360" w:lineRule="auto"/>
              <w:jc w:val="center"/>
              <w:rPr>
                <w:rFonts w:hAnsi="宋体"/>
                <w:color w:val="auto"/>
                <w:sz w:val="24"/>
                <w:highlight w:val="none"/>
              </w:rPr>
            </w:pPr>
          </w:p>
        </w:tc>
        <w:tc>
          <w:tcPr>
            <w:tcW w:w="549" w:type="pct"/>
            <w:vAlign w:val="center"/>
          </w:tcPr>
          <w:p w14:paraId="0F61FA98">
            <w:pPr>
              <w:spacing w:line="360" w:lineRule="auto"/>
              <w:jc w:val="center"/>
              <w:rPr>
                <w:rFonts w:hAnsi="宋体"/>
                <w:color w:val="auto"/>
                <w:sz w:val="24"/>
                <w:highlight w:val="none"/>
              </w:rPr>
            </w:pPr>
          </w:p>
        </w:tc>
      </w:tr>
      <w:tr w14:paraId="2427F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52BF50C6">
            <w:pPr>
              <w:spacing w:line="360" w:lineRule="auto"/>
              <w:jc w:val="center"/>
              <w:rPr>
                <w:rFonts w:hAnsi="宋体"/>
                <w:color w:val="auto"/>
                <w:sz w:val="24"/>
                <w:highlight w:val="none"/>
              </w:rPr>
            </w:pPr>
            <w:r>
              <w:rPr>
                <w:rFonts w:hint="eastAsia" w:hAnsi="宋体"/>
                <w:color w:val="auto"/>
                <w:sz w:val="24"/>
                <w:highlight w:val="none"/>
              </w:rPr>
              <w:t>4</w:t>
            </w:r>
          </w:p>
        </w:tc>
        <w:tc>
          <w:tcPr>
            <w:tcW w:w="885" w:type="pct"/>
            <w:vAlign w:val="center"/>
          </w:tcPr>
          <w:p w14:paraId="53DBF2B4">
            <w:pPr>
              <w:spacing w:line="360" w:lineRule="auto"/>
              <w:jc w:val="center"/>
              <w:rPr>
                <w:rFonts w:hAnsi="宋体"/>
                <w:color w:val="auto"/>
                <w:sz w:val="24"/>
                <w:highlight w:val="none"/>
              </w:rPr>
            </w:pPr>
          </w:p>
        </w:tc>
        <w:tc>
          <w:tcPr>
            <w:tcW w:w="844" w:type="pct"/>
            <w:vAlign w:val="center"/>
          </w:tcPr>
          <w:p w14:paraId="3CBC4216">
            <w:pPr>
              <w:spacing w:line="360" w:lineRule="auto"/>
              <w:jc w:val="center"/>
              <w:rPr>
                <w:rFonts w:hAnsi="宋体"/>
                <w:color w:val="auto"/>
                <w:sz w:val="24"/>
                <w:highlight w:val="none"/>
              </w:rPr>
            </w:pPr>
          </w:p>
        </w:tc>
        <w:tc>
          <w:tcPr>
            <w:tcW w:w="538" w:type="pct"/>
            <w:vAlign w:val="center"/>
          </w:tcPr>
          <w:p w14:paraId="12E73655">
            <w:pPr>
              <w:spacing w:line="360" w:lineRule="auto"/>
              <w:jc w:val="center"/>
              <w:rPr>
                <w:rFonts w:hAnsi="宋体"/>
                <w:color w:val="auto"/>
                <w:sz w:val="24"/>
                <w:highlight w:val="none"/>
              </w:rPr>
            </w:pPr>
          </w:p>
        </w:tc>
        <w:tc>
          <w:tcPr>
            <w:tcW w:w="537" w:type="pct"/>
            <w:vAlign w:val="center"/>
          </w:tcPr>
          <w:p w14:paraId="7A473322">
            <w:pPr>
              <w:spacing w:line="360" w:lineRule="auto"/>
              <w:jc w:val="center"/>
              <w:rPr>
                <w:rFonts w:hAnsi="宋体"/>
                <w:color w:val="auto"/>
                <w:sz w:val="24"/>
                <w:highlight w:val="none"/>
              </w:rPr>
            </w:pPr>
          </w:p>
        </w:tc>
        <w:tc>
          <w:tcPr>
            <w:tcW w:w="614" w:type="pct"/>
            <w:vAlign w:val="center"/>
          </w:tcPr>
          <w:p w14:paraId="6DF2ADEF">
            <w:pPr>
              <w:spacing w:line="360" w:lineRule="auto"/>
              <w:jc w:val="center"/>
              <w:rPr>
                <w:rFonts w:hAnsi="宋体"/>
                <w:color w:val="auto"/>
                <w:sz w:val="24"/>
                <w:highlight w:val="none"/>
              </w:rPr>
            </w:pPr>
          </w:p>
        </w:tc>
        <w:tc>
          <w:tcPr>
            <w:tcW w:w="768" w:type="pct"/>
            <w:vAlign w:val="center"/>
          </w:tcPr>
          <w:p w14:paraId="4AE12AE0">
            <w:pPr>
              <w:spacing w:line="360" w:lineRule="auto"/>
              <w:jc w:val="center"/>
              <w:rPr>
                <w:rFonts w:hAnsi="宋体"/>
                <w:color w:val="auto"/>
                <w:sz w:val="24"/>
                <w:highlight w:val="none"/>
              </w:rPr>
            </w:pPr>
          </w:p>
        </w:tc>
        <w:tc>
          <w:tcPr>
            <w:tcW w:w="549" w:type="pct"/>
            <w:vAlign w:val="center"/>
          </w:tcPr>
          <w:p w14:paraId="60BF9C1E">
            <w:pPr>
              <w:spacing w:line="360" w:lineRule="auto"/>
              <w:jc w:val="center"/>
              <w:rPr>
                <w:rFonts w:hAnsi="宋体"/>
                <w:color w:val="auto"/>
                <w:sz w:val="24"/>
                <w:highlight w:val="none"/>
              </w:rPr>
            </w:pPr>
          </w:p>
        </w:tc>
      </w:tr>
      <w:tr w14:paraId="67253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64D177CE">
            <w:pPr>
              <w:spacing w:line="360" w:lineRule="auto"/>
              <w:jc w:val="center"/>
              <w:rPr>
                <w:rFonts w:hAnsi="宋体"/>
                <w:color w:val="auto"/>
                <w:sz w:val="24"/>
                <w:highlight w:val="none"/>
              </w:rPr>
            </w:pPr>
            <w:r>
              <w:rPr>
                <w:rFonts w:hint="eastAsia" w:hAnsi="宋体"/>
                <w:color w:val="auto"/>
                <w:sz w:val="24"/>
                <w:highlight w:val="none"/>
              </w:rPr>
              <w:t>5</w:t>
            </w:r>
          </w:p>
        </w:tc>
        <w:tc>
          <w:tcPr>
            <w:tcW w:w="885" w:type="pct"/>
            <w:vAlign w:val="center"/>
          </w:tcPr>
          <w:p w14:paraId="45139960">
            <w:pPr>
              <w:spacing w:line="360" w:lineRule="auto"/>
              <w:jc w:val="center"/>
              <w:rPr>
                <w:rFonts w:hAnsi="宋体"/>
                <w:color w:val="auto"/>
                <w:sz w:val="24"/>
                <w:highlight w:val="none"/>
              </w:rPr>
            </w:pPr>
          </w:p>
        </w:tc>
        <w:tc>
          <w:tcPr>
            <w:tcW w:w="844" w:type="pct"/>
            <w:vAlign w:val="center"/>
          </w:tcPr>
          <w:p w14:paraId="1FEC5EC0">
            <w:pPr>
              <w:spacing w:line="360" w:lineRule="auto"/>
              <w:jc w:val="center"/>
              <w:rPr>
                <w:rFonts w:hAnsi="宋体"/>
                <w:color w:val="auto"/>
                <w:sz w:val="24"/>
                <w:highlight w:val="none"/>
              </w:rPr>
            </w:pPr>
          </w:p>
        </w:tc>
        <w:tc>
          <w:tcPr>
            <w:tcW w:w="538" w:type="pct"/>
            <w:vAlign w:val="center"/>
          </w:tcPr>
          <w:p w14:paraId="7FCEBD46">
            <w:pPr>
              <w:spacing w:line="360" w:lineRule="auto"/>
              <w:jc w:val="center"/>
              <w:rPr>
                <w:rFonts w:hAnsi="宋体"/>
                <w:color w:val="auto"/>
                <w:sz w:val="24"/>
                <w:highlight w:val="none"/>
              </w:rPr>
            </w:pPr>
          </w:p>
        </w:tc>
        <w:tc>
          <w:tcPr>
            <w:tcW w:w="537" w:type="pct"/>
            <w:vAlign w:val="center"/>
          </w:tcPr>
          <w:p w14:paraId="18326DE0">
            <w:pPr>
              <w:spacing w:line="360" w:lineRule="auto"/>
              <w:jc w:val="center"/>
              <w:rPr>
                <w:rFonts w:hAnsi="宋体"/>
                <w:color w:val="auto"/>
                <w:sz w:val="24"/>
                <w:highlight w:val="none"/>
              </w:rPr>
            </w:pPr>
          </w:p>
        </w:tc>
        <w:tc>
          <w:tcPr>
            <w:tcW w:w="614" w:type="pct"/>
            <w:vAlign w:val="center"/>
          </w:tcPr>
          <w:p w14:paraId="26FF7F15">
            <w:pPr>
              <w:spacing w:line="360" w:lineRule="auto"/>
              <w:jc w:val="center"/>
              <w:rPr>
                <w:rFonts w:hAnsi="宋体"/>
                <w:color w:val="auto"/>
                <w:sz w:val="24"/>
                <w:highlight w:val="none"/>
              </w:rPr>
            </w:pPr>
          </w:p>
        </w:tc>
        <w:tc>
          <w:tcPr>
            <w:tcW w:w="768" w:type="pct"/>
            <w:vAlign w:val="center"/>
          </w:tcPr>
          <w:p w14:paraId="0B73BA07">
            <w:pPr>
              <w:spacing w:line="360" w:lineRule="auto"/>
              <w:jc w:val="center"/>
              <w:rPr>
                <w:rFonts w:hAnsi="宋体"/>
                <w:color w:val="auto"/>
                <w:sz w:val="24"/>
                <w:highlight w:val="none"/>
              </w:rPr>
            </w:pPr>
          </w:p>
        </w:tc>
        <w:tc>
          <w:tcPr>
            <w:tcW w:w="549" w:type="pct"/>
            <w:vAlign w:val="center"/>
          </w:tcPr>
          <w:p w14:paraId="5AF58B73">
            <w:pPr>
              <w:spacing w:line="360" w:lineRule="auto"/>
              <w:jc w:val="center"/>
              <w:rPr>
                <w:rFonts w:hAnsi="宋体"/>
                <w:color w:val="auto"/>
                <w:sz w:val="24"/>
                <w:highlight w:val="none"/>
              </w:rPr>
            </w:pPr>
          </w:p>
        </w:tc>
      </w:tr>
      <w:tr w14:paraId="58926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1A3F51AC">
            <w:pPr>
              <w:spacing w:line="360" w:lineRule="auto"/>
              <w:jc w:val="center"/>
              <w:rPr>
                <w:rFonts w:hAnsi="宋体"/>
                <w:color w:val="auto"/>
                <w:sz w:val="24"/>
                <w:highlight w:val="none"/>
              </w:rPr>
            </w:pPr>
            <w:r>
              <w:rPr>
                <w:rFonts w:hint="eastAsia" w:hAnsi="宋体"/>
                <w:color w:val="auto"/>
                <w:sz w:val="24"/>
                <w:highlight w:val="none"/>
              </w:rPr>
              <w:t>6</w:t>
            </w:r>
          </w:p>
        </w:tc>
        <w:tc>
          <w:tcPr>
            <w:tcW w:w="885" w:type="pct"/>
            <w:vAlign w:val="center"/>
          </w:tcPr>
          <w:p w14:paraId="1EE96C8F">
            <w:pPr>
              <w:spacing w:line="360" w:lineRule="auto"/>
              <w:jc w:val="center"/>
              <w:rPr>
                <w:rFonts w:hAnsi="宋体"/>
                <w:color w:val="auto"/>
                <w:sz w:val="24"/>
                <w:highlight w:val="none"/>
              </w:rPr>
            </w:pPr>
          </w:p>
        </w:tc>
        <w:tc>
          <w:tcPr>
            <w:tcW w:w="844" w:type="pct"/>
            <w:vAlign w:val="center"/>
          </w:tcPr>
          <w:p w14:paraId="2DDA99BA">
            <w:pPr>
              <w:spacing w:line="360" w:lineRule="auto"/>
              <w:jc w:val="center"/>
              <w:rPr>
                <w:rFonts w:hAnsi="宋体"/>
                <w:color w:val="auto"/>
                <w:sz w:val="24"/>
                <w:highlight w:val="none"/>
              </w:rPr>
            </w:pPr>
          </w:p>
        </w:tc>
        <w:tc>
          <w:tcPr>
            <w:tcW w:w="538" w:type="pct"/>
            <w:vAlign w:val="center"/>
          </w:tcPr>
          <w:p w14:paraId="01956127">
            <w:pPr>
              <w:spacing w:line="360" w:lineRule="auto"/>
              <w:jc w:val="center"/>
              <w:rPr>
                <w:rFonts w:hAnsi="宋体"/>
                <w:color w:val="auto"/>
                <w:sz w:val="24"/>
                <w:highlight w:val="none"/>
              </w:rPr>
            </w:pPr>
          </w:p>
        </w:tc>
        <w:tc>
          <w:tcPr>
            <w:tcW w:w="537" w:type="pct"/>
            <w:vAlign w:val="center"/>
          </w:tcPr>
          <w:p w14:paraId="4F4D0336">
            <w:pPr>
              <w:spacing w:line="360" w:lineRule="auto"/>
              <w:jc w:val="center"/>
              <w:rPr>
                <w:rFonts w:hAnsi="宋体"/>
                <w:color w:val="auto"/>
                <w:sz w:val="24"/>
                <w:highlight w:val="none"/>
              </w:rPr>
            </w:pPr>
          </w:p>
        </w:tc>
        <w:tc>
          <w:tcPr>
            <w:tcW w:w="614" w:type="pct"/>
            <w:vAlign w:val="center"/>
          </w:tcPr>
          <w:p w14:paraId="3705B076">
            <w:pPr>
              <w:spacing w:line="360" w:lineRule="auto"/>
              <w:jc w:val="center"/>
              <w:rPr>
                <w:rFonts w:hAnsi="宋体"/>
                <w:color w:val="auto"/>
                <w:sz w:val="24"/>
                <w:highlight w:val="none"/>
              </w:rPr>
            </w:pPr>
          </w:p>
        </w:tc>
        <w:tc>
          <w:tcPr>
            <w:tcW w:w="768" w:type="pct"/>
            <w:vAlign w:val="center"/>
          </w:tcPr>
          <w:p w14:paraId="6749A11E">
            <w:pPr>
              <w:spacing w:line="360" w:lineRule="auto"/>
              <w:jc w:val="center"/>
              <w:rPr>
                <w:rFonts w:hAnsi="宋体"/>
                <w:color w:val="auto"/>
                <w:sz w:val="24"/>
                <w:highlight w:val="none"/>
              </w:rPr>
            </w:pPr>
          </w:p>
        </w:tc>
        <w:tc>
          <w:tcPr>
            <w:tcW w:w="549" w:type="pct"/>
            <w:vAlign w:val="center"/>
          </w:tcPr>
          <w:p w14:paraId="40431435">
            <w:pPr>
              <w:spacing w:line="360" w:lineRule="auto"/>
              <w:jc w:val="center"/>
              <w:rPr>
                <w:rFonts w:hAnsi="宋体"/>
                <w:color w:val="auto"/>
                <w:sz w:val="24"/>
                <w:highlight w:val="none"/>
              </w:rPr>
            </w:pPr>
          </w:p>
        </w:tc>
      </w:tr>
      <w:tr w14:paraId="2F1B0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22A11211">
            <w:pPr>
              <w:spacing w:line="360" w:lineRule="auto"/>
              <w:jc w:val="center"/>
              <w:rPr>
                <w:rFonts w:hAnsi="宋体"/>
                <w:color w:val="auto"/>
                <w:sz w:val="24"/>
                <w:highlight w:val="none"/>
              </w:rPr>
            </w:pPr>
            <w:r>
              <w:rPr>
                <w:rFonts w:hint="eastAsia" w:hAnsi="宋体"/>
                <w:color w:val="auto"/>
                <w:sz w:val="24"/>
                <w:highlight w:val="none"/>
              </w:rPr>
              <w:t>7</w:t>
            </w:r>
          </w:p>
        </w:tc>
        <w:tc>
          <w:tcPr>
            <w:tcW w:w="885" w:type="pct"/>
            <w:vAlign w:val="center"/>
          </w:tcPr>
          <w:p w14:paraId="208BA31A">
            <w:pPr>
              <w:spacing w:line="360" w:lineRule="auto"/>
              <w:jc w:val="center"/>
              <w:rPr>
                <w:rFonts w:hAnsi="宋体"/>
                <w:color w:val="auto"/>
                <w:sz w:val="24"/>
                <w:highlight w:val="none"/>
              </w:rPr>
            </w:pPr>
          </w:p>
        </w:tc>
        <w:tc>
          <w:tcPr>
            <w:tcW w:w="844" w:type="pct"/>
            <w:vAlign w:val="center"/>
          </w:tcPr>
          <w:p w14:paraId="7F4B5C62">
            <w:pPr>
              <w:spacing w:line="360" w:lineRule="auto"/>
              <w:jc w:val="center"/>
              <w:rPr>
                <w:rFonts w:hAnsi="宋体"/>
                <w:color w:val="auto"/>
                <w:sz w:val="24"/>
                <w:highlight w:val="none"/>
              </w:rPr>
            </w:pPr>
          </w:p>
        </w:tc>
        <w:tc>
          <w:tcPr>
            <w:tcW w:w="538" w:type="pct"/>
            <w:vAlign w:val="center"/>
          </w:tcPr>
          <w:p w14:paraId="52791203">
            <w:pPr>
              <w:spacing w:line="360" w:lineRule="auto"/>
              <w:jc w:val="center"/>
              <w:rPr>
                <w:rFonts w:hAnsi="宋体"/>
                <w:color w:val="auto"/>
                <w:sz w:val="24"/>
                <w:highlight w:val="none"/>
              </w:rPr>
            </w:pPr>
          </w:p>
        </w:tc>
        <w:tc>
          <w:tcPr>
            <w:tcW w:w="537" w:type="pct"/>
            <w:vAlign w:val="center"/>
          </w:tcPr>
          <w:p w14:paraId="12A63C51">
            <w:pPr>
              <w:spacing w:line="360" w:lineRule="auto"/>
              <w:jc w:val="center"/>
              <w:rPr>
                <w:rFonts w:hAnsi="宋体"/>
                <w:color w:val="auto"/>
                <w:sz w:val="24"/>
                <w:highlight w:val="none"/>
              </w:rPr>
            </w:pPr>
          </w:p>
        </w:tc>
        <w:tc>
          <w:tcPr>
            <w:tcW w:w="614" w:type="pct"/>
            <w:vAlign w:val="center"/>
          </w:tcPr>
          <w:p w14:paraId="5A747DC1">
            <w:pPr>
              <w:spacing w:line="360" w:lineRule="auto"/>
              <w:jc w:val="center"/>
              <w:rPr>
                <w:rFonts w:hAnsi="宋体"/>
                <w:color w:val="auto"/>
                <w:sz w:val="24"/>
                <w:highlight w:val="none"/>
              </w:rPr>
            </w:pPr>
          </w:p>
        </w:tc>
        <w:tc>
          <w:tcPr>
            <w:tcW w:w="768" w:type="pct"/>
            <w:vAlign w:val="center"/>
          </w:tcPr>
          <w:p w14:paraId="0A2650DB">
            <w:pPr>
              <w:spacing w:line="360" w:lineRule="auto"/>
              <w:jc w:val="center"/>
              <w:rPr>
                <w:rFonts w:hAnsi="宋体"/>
                <w:color w:val="auto"/>
                <w:sz w:val="24"/>
                <w:highlight w:val="none"/>
              </w:rPr>
            </w:pPr>
          </w:p>
        </w:tc>
        <w:tc>
          <w:tcPr>
            <w:tcW w:w="549" w:type="pct"/>
            <w:vAlign w:val="center"/>
          </w:tcPr>
          <w:p w14:paraId="30336E17">
            <w:pPr>
              <w:spacing w:line="360" w:lineRule="auto"/>
              <w:jc w:val="center"/>
              <w:rPr>
                <w:rFonts w:hAnsi="宋体"/>
                <w:color w:val="auto"/>
                <w:sz w:val="24"/>
                <w:highlight w:val="none"/>
              </w:rPr>
            </w:pPr>
          </w:p>
        </w:tc>
      </w:tr>
      <w:tr w14:paraId="0D285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5967DC08">
            <w:pPr>
              <w:spacing w:line="360" w:lineRule="auto"/>
              <w:jc w:val="center"/>
              <w:rPr>
                <w:rFonts w:hAnsi="宋体"/>
                <w:color w:val="auto"/>
                <w:sz w:val="24"/>
                <w:highlight w:val="none"/>
              </w:rPr>
            </w:pPr>
            <w:r>
              <w:rPr>
                <w:rFonts w:hint="eastAsia" w:hAnsi="宋体"/>
                <w:color w:val="auto"/>
                <w:sz w:val="24"/>
                <w:highlight w:val="none"/>
              </w:rPr>
              <w:t>8</w:t>
            </w:r>
          </w:p>
        </w:tc>
        <w:tc>
          <w:tcPr>
            <w:tcW w:w="885" w:type="pct"/>
            <w:vAlign w:val="center"/>
          </w:tcPr>
          <w:p w14:paraId="53BAD8F3">
            <w:pPr>
              <w:spacing w:line="360" w:lineRule="auto"/>
              <w:jc w:val="center"/>
              <w:rPr>
                <w:rFonts w:hAnsi="宋体"/>
                <w:color w:val="auto"/>
                <w:sz w:val="24"/>
                <w:highlight w:val="none"/>
              </w:rPr>
            </w:pPr>
          </w:p>
        </w:tc>
        <w:tc>
          <w:tcPr>
            <w:tcW w:w="844" w:type="pct"/>
            <w:vAlign w:val="center"/>
          </w:tcPr>
          <w:p w14:paraId="073DF450">
            <w:pPr>
              <w:spacing w:line="360" w:lineRule="auto"/>
              <w:jc w:val="center"/>
              <w:rPr>
                <w:rFonts w:hAnsi="宋体"/>
                <w:color w:val="auto"/>
                <w:sz w:val="24"/>
                <w:highlight w:val="none"/>
              </w:rPr>
            </w:pPr>
          </w:p>
        </w:tc>
        <w:tc>
          <w:tcPr>
            <w:tcW w:w="538" w:type="pct"/>
            <w:vAlign w:val="center"/>
          </w:tcPr>
          <w:p w14:paraId="14E9B25D">
            <w:pPr>
              <w:spacing w:line="360" w:lineRule="auto"/>
              <w:jc w:val="center"/>
              <w:rPr>
                <w:rFonts w:hAnsi="宋体"/>
                <w:color w:val="auto"/>
                <w:sz w:val="24"/>
                <w:highlight w:val="none"/>
              </w:rPr>
            </w:pPr>
          </w:p>
        </w:tc>
        <w:tc>
          <w:tcPr>
            <w:tcW w:w="537" w:type="pct"/>
            <w:vAlign w:val="center"/>
          </w:tcPr>
          <w:p w14:paraId="2BF5886D">
            <w:pPr>
              <w:spacing w:line="360" w:lineRule="auto"/>
              <w:jc w:val="center"/>
              <w:rPr>
                <w:rFonts w:hAnsi="宋体"/>
                <w:color w:val="auto"/>
                <w:sz w:val="24"/>
                <w:highlight w:val="none"/>
              </w:rPr>
            </w:pPr>
          </w:p>
        </w:tc>
        <w:tc>
          <w:tcPr>
            <w:tcW w:w="614" w:type="pct"/>
            <w:vAlign w:val="center"/>
          </w:tcPr>
          <w:p w14:paraId="0F6CADAC">
            <w:pPr>
              <w:spacing w:line="360" w:lineRule="auto"/>
              <w:jc w:val="center"/>
              <w:rPr>
                <w:rFonts w:hAnsi="宋体"/>
                <w:color w:val="auto"/>
                <w:sz w:val="24"/>
                <w:highlight w:val="none"/>
              </w:rPr>
            </w:pPr>
          </w:p>
        </w:tc>
        <w:tc>
          <w:tcPr>
            <w:tcW w:w="768" w:type="pct"/>
            <w:vAlign w:val="center"/>
          </w:tcPr>
          <w:p w14:paraId="3EC212EC">
            <w:pPr>
              <w:spacing w:line="360" w:lineRule="auto"/>
              <w:jc w:val="center"/>
              <w:rPr>
                <w:rFonts w:hAnsi="宋体"/>
                <w:color w:val="auto"/>
                <w:sz w:val="24"/>
                <w:highlight w:val="none"/>
              </w:rPr>
            </w:pPr>
          </w:p>
        </w:tc>
        <w:tc>
          <w:tcPr>
            <w:tcW w:w="549" w:type="pct"/>
            <w:vAlign w:val="center"/>
          </w:tcPr>
          <w:p w14:paraId="3531186D">
            <w:pPr>
              <w:spacing w:line="360" w:lineRule="auto"/>
              <w:jc w:val="center"/>
              <w:rPr>
                <w:rFonts w:hAnsi="宋体"/>
                <w:color w:val="auto"/>
                <w:sz w:val="24"/>
                <w:highlight w:val="none"/>
              </w:rPr>
            </w:pPr>
          </w:p>
        </w:tc>
      </w:tr>
      <w:tr w14:paraId="036FC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1E88DF6E">
            <w:pPr>
              <w:spacing w:line="360" w:lineRule="auto"/>
              <w:jc w:val="center"/>
              <w:rPr>
                <w:rFonts w:hAnsi="宋体"/>
                <w:color w:val="auto"/>
                <w:sz w:val="24"/>
                <w:highlight w:val="none"/>
              </w:rPr>
            </w:pPr>
            <w:r>
              <w:rPr>
                <w:rFonts w:hint="eastAsia" w:hAnsi="宋体"/>
                <w:color w:val="auto"/>
                <w:sz w:val="24"/>
                <w:highlight w:val="none"/>
              </w:rPr>
              <w:t>9</w:t>
            </w:r>
          </w:p>
        </w:tc>
        <w:tc>
          <w:tcPr>
            <w:tcW w:w="885" w:type="pct"/>
            <w:vAlign w:val="center"/>
          </w:tcPr>
          <w:p w14:paraId="522D80CA">
            <w:pPr>
              <w:spacing w:line="360" w:lineRule="auto"/>
              <w:jc w:val="center"/>
              <w:rPr>
                <w:rFonts w:hAnsi="宋体"/>
                <w:color w:val="auto"/>
                <w:sz w:val="24"/>
                <w:highlight w:val="none"/>
              </w:rPr>
            </w:pPr>
          </w:p>
        </w:tc>
        <w:tc>
          <w:tcPr>
            <w:tcW w:w="844" w:type="pct"/>
            <w:vAlign w:val="center"/>
          </w:tcPr>
          <w:p w14:paraId="33F54858">
            <w:pPr>
              <w:spacing w:line="360" w:lineRule="auto"/>
              <w:jc w:val="center"/>
              <w:rPr>
                <w:rFonts w:hAnsi="宋体"/>
                <w:color w:val="auto"/>
                <w:sz w:val="24"/>
                <w:highlight w:val="none"/>
              </w:rPr>
            </w:pPr>
          </w:p>
        </w:tc>
        <w:tc>
          <w:tcPr>
            <w:tcW w:w="538" w:type="pct"/>
            <w:vAlign w:val="center"/>
          </w:tcPr>
          <w:p w14:paraId="7D1B6F4B">
            <w:pPr>
              <w:spacing w:line="360" w:lineRule="auto"/>
              <w:jc w:val="center"/>
              <w:rPr>
                <w:rFonts w:hAnsi="宋体"/>
                <w:color w:val="auto"/>
                <w:sz w:val="24"/>
                <w:highlight w:val="none"/>
              </w:rPr>
            </w:pPr>
          </w:p>
        </w:tc>
        <w:tc>
          <w:tcPr>
            <w:tcW w:w="537" w:type="pct"/>
            <w:vAlign w:val="center"/>
          </w:tcPr>
          <w:p w14:paraId="26449BEF">
            <w:pPr>
              <w:spacing w:line="360" w:lineRule="auto"/>
              <w:jc w:val="center"/>
              <w:rPr>
                <w:rFonts w:hAnsi="宋体"/>
                <w:color w:val="auto"/>
                <w:sz w:val="24"/>
                <w:highlight w:val="none"/>
              </w:rPr>
            </w:pPr>
          </w:p>
        </w:tc>
        <w:tc>
          <w:tcPr>
            <w:tcW w:w="614" w:type="pct"/>
            <w:vAlign w:val="center"/>
          </w:tcPr>
          <w:p w14:paraId="06DF7863">
            <w:pPr>
              <w:spacing w:line="360" w:lineRule="auto"/>
              <w:jc w:val="center"/>
              <w:rPr>
                <w:rFonts w:hAnsi="宋体"/>
                <w:color w:val="auto"/>
                <w:sz w:val="24"/>
                <w:highlight w:val="none"/>
              </w:rPr>
            </w:pPr>
          </w:p>
        </w:tc>
        <w:tc>
          <w:tcPr>
            <w:tcW w:w="768" w:type="pct"/>
            <w:vAlign w:val="center"/>
          </w:tcPr>
          <w:p w14:paraId="1712D96F">
            <w:pPr>
              <w:spacing w:line="360" w:lineRule="auto"/>
              <w:jc w:val="center"/>
              <w:rPr>
                <w:rFonts w:hAnsi="宋体"/>
                <w:color w:val="auto"/>
                <w:sz w:val="24"/>
                <w:highlight w:val="none"/>
              </w:rPr>
            </w:pPr>
          </w:p>
        </w:tc>
        <w:tc>
          <w:tcPr>
            <w:tcW w:w="549" w:type="pct"/>
            <w:vAlign w:val="center"/>
          </w:tcPr>
          <w:p w14:paraId="57A9E137">
            <w:pPr>
              <w:spacing w:line="360" w:lineRule="auto"/>
              <w:jc w:val="center"/>
              <w:rPr>
                <w:rFonts w:hAnsi="宋体"/>
                <w:color w:val="auto"/>
                <w:sz w:val="24"/>
                <w:highlight w:val="none"/>
              </w:rPr>
            </w:pPr>
          </w:p>
        </w:tc>
      </w:tr>
      <w:tr w14:paraId="355FD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62BE42C1">
            <w:pPr>
              <w:spacing w:line="360" w:lineRule="auto"/>
              <w:jc w:val="center"/>
              <w:rPr>
                <w:rFonts w:hAnsi="宋体"/>
                <w:color w:val="auto"/>
                <w:sz w:val="24"/>
                <w:highlight w:val="none"/>
              </w:rPr>
            </w:pPr>
            <w:r>
              <w:rPr>
                <w:rFonts w:hint="eastAsia" w:hAnsi="宋体"/>
                <w:color w:val="auto"/>
                <w:sz w:val="24"/>
                <w:highlight w:val="none"/>
              </w:rPr>
              <w:t>1</w:t>
            </w:r>
            <w:r>
              <w:rPr>
                <w:rFonts w:hAnsi="宋体"/>
                <w:color w:val="auto"/>
                <w:sz w:val="24"/>
                <w:highlight w:val="none"/>
              </w:rPr>
              <w:t>0</w:t>
            </w:r>
          </w:p>
        </w:tc>
        <w:tc>
          <w:tcPr>
            <w:tcW w:w="885" w:type="pct"/>
            <w:vAlign w:val="center"/>
          </w:tcPr>
          <w:p w14:paraId="4A3F22A4">
            <w:pPr>
              <w:spacing w:line="360" w:lineRule="auto"/>
              <w:jc w:val="center"/>
              <w:rPr>
                <w:rFonts w:hAnsi="宋体"/>
                <w:color w:val="auto"/>
                <w:sz w:val="24"/>
                <w:highlight w:val="none"/>
              </w:rPr>
            </w:pPr>
          </w:p>
        </w:tc>
        <w:tc>
          <w:tcPr>
            <w:tcW w:w="844" w:type="pct"/>
            <w:vAlign w:val="center"/>
          </w:tcPr>
          <w:p w14:paraId="2E693D7F">
            <w:pPr>
              <w:spacing w:line="360" w:lineRule="auto"/>
              <w:jc w:val="center"/>
              <w:rPr>
                <w:rFonts w:hAnsi="宋体"/>
                <w:color w:val="auto"/>
                <w:sz w:val="24"/>
                <w:highlight w:val="none"/>
              </w:rPr>
            </w:pPr>
          </w:p>
        </w:tc>
        <w:tc>
          <w:tcPr>
            <w:tcW w:w="538" w:type="pct"/>
            <w:vAlign w:val="center"/>
          </w:tcPr>
          <w:p w14:paraId="6EC6E74C">
            <w:pPr>
              <w:spacing w:line="360" w:lineRule="auto"/>
              <w:jc w:val="center"/>
              <w:rPr>
                <w:rFonts w:hAnsi="宋体"/>
                <w:color w:val="auto"/>
                <w:sz w:val="24"/>
                <w:highlight w:val="none"/>
              </w:rPr>
            </w:pPr>
          </w:p>
        </w:tc>
        <w:tc>
          <w:tcPr>
            <w:tcW w:w="537" w:type="pct"/>
            <w:vAlign w:val="center"/>
          </w:tcPr>
          <w:p w14:paraId="3182F19D">
            <w:pPr>
              <w:spacing w:line="360" w:lineRule="auto"/>
              <w:jc w:val="center"/>
              <w:rPr>
                <w:rFonts w:hAnsi="宋体"/>
                <w:color w:val="auto"/>
                <w:sz w:val="24"/>
                <w:highlight w:val="none"/>
              </w:rPr>
            </w:pPr>
          </w:p>
        </w:tc>
        <w:tc>
          <w:tcPr>
            <w:tcW w:w="614" w:type="pct"/>
            <w:vAlign w:val="center"/>
          </w:tcPr>
          <w:p w14:paraId="1DFBCED2">
            <w:pPr>
              <w:spacing w:line="360" w:lineRule="auto"/>
              <w:jc w:val="center"/>
              <w:rPr>
                <w:rFonts w:hAnsi="宋体"/>
                <w:color w:val="auto"/>
                <w:sz w:val="24"/>
                <w:highlight w:val="none"/>
              </w:rPr>
            </w:pPr>
          </w:p>
        </w:tc>
        <w:tc>
          <w:tcPr>
            <w:tcW w:w="768" w:type="pct"/>
            <w:vAlign w:val="center"/>
          </w:tcPr>
          <w:p w14:paraId="741DCAB1">
            <w:pPr>
              <w:spacing w:line="360" w:lineRule="auto"/>
              <w:jc w:val="center"/>
              <w:rPr>
                <w:rFonts w:hAnsi="宋体"/>
                <w:color w:val="auto"/>
                <w:sz w:val="24"/>
                <w:highlight w:val="none"/>
              </w:rPr>
            </w:pPr>
          </w:p>
        </w:tc>
        <w:tc>
          <w:tcPr>
            <w:tcW w:w="549" w:type="pct"/>
            <w:vAlign w:val="center"/>
          </w:tcPr>
          <w:p w14:paraId="799BB8C7">
            <w:pPr>
              <w:spacing w:line="360" w:lineRule="auto"/>
              <w:jc w:val="center"/>
              <w:rPr>
                <w:rFonts w:hAnsi="宋体"/>
                <w:color w:val="auto"/>
                <w:sz w:val="24"/>
                <w:highlight w:val="none"/>
              </w:rPr>
            </w:pPr>
          </w:p>
        </w:tc>
      </w:tr>
      <w:tr w14:paraId="5270E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371C7CAF">
            <w:pPr>
              <w:spacing w:line="360" w:lineRule="auto"/>
              <w:jc w:val="center"/>
              <w:rPr>
                <w:rFonts w:hAnsi="宋体"/>
                <w:color w:val="auto"/>
                <w:sz w:val="24"/>
                <w:highlight w:val="none"/>
              </w:rPr>
            </w:pPr>
            <w:r>
              <w:rPr>
                <w:rFonts w:hint="eastAsia" w:hAnsi="宋体"/>
                <w:color w:val="auto"/>
                <w:sz w:val="24"/>
                <w:highlight w:val="none"/>
              </w:rPr>
              <w:t>1</w:t>
            </w:r>
            <w:r>
              <w:rPr>
                <w:rFonts w:hAnsi="宋体"/>
                <w:color w:val="auto"/>
                <w:sz w:val="24"/>
                <w:highlight w:val="none"/>
              </w:rPr>
              <w:t>1</w:t>
            </w:r>
          </w:p>
        </w:tc>
        <w:tc>
          <w:tcPr>
            <w:tcW w:w="885" w:type="pct"/>
            <w:vAlign w:val="center"/>
          </w:tcPr>
          <w:p w14:paraId="2F3F3836">
            <w:pPr>
              <w:spacing w:line="360" w:lineRule="auto"/>
              <w:jc w:val="center"/>
              <w:rPr>
                <w:rFonts w:hAnsi="宋体"/>
                <w:color w:val="auto"/>
                <w:sz w:val="24"/>
                <w:highlight w:val="none"/>
              </w:rPr>
            </w:pPr>
          </w:p>
        </w:tc>
        <w:tc>
          <w:tcPr>
            <w:tcW w:w="844" w:type="pct"/>
            <w:vAlign w:val="center"/>
          </w:tcPr>
          <w:p w14:paraId="7D88A987">
            <w:pPr>
              <w:spacing w:line="360" w:lineRule="auto"/>
              <w:jc w:val="center"/>
              <w:rPr>
                <w:rFonts w:hAnsi="宋体"/>
                <w:color w:val="auto"/>
                <w:sz w:val="24"/>
                <w:highlight w:val="none"/>
              </w:rPr>
            </w:pPr>
          </w:p>
        </w:tc>
        <w:tc>
          <w:tcPr>
            <w:tcW w:w="538" w:type="pct"/>
            <w:vAlign w:val="center"/>
          </w:tcPr>
          <w:p w14:paraId="299B12E6">
            <w:pPr>
              <w:spacing w:line="360" w:lineRule="auto"/>
              <w:jc w:val="center"/>
              <w:rPr>
                <w:rFonts w:hAnsi="宋体"/>
                <w:color w:val="auto"/>
                <w:sz w:val="24"/>
                <w:highlight w:val="none"/>
              </w:rPr>
            </w:pPr>
          </w:p>
        </w:tc>
        <w:tc>
          <w:tcPr>
            <w:tcW w:w="537" w:type="pct"/>
            <w:vAlign w:val="center"/>
          </w:tcPr>
          <w:p w14:paraId="0AAD2814">
            <w:pPr>
              <w:spacing w:line="360" w:lineRule="auto"/>
              <w:jc w:val="center"/>
              <w:rPr>
                <w:rFonts w:hAnsi="宋体"/>
                <w:color w:val="auto"/>
                <w:sz w:val="24"/>
                <w:highlight w:val="none"/>
              </w:rPr>
            </w:pPr>
          </w:p>
        </w:tc>
        <w:tc>
          <w:tcPr>
            <w:tcW w:w="614" w:type="pct"/>
            <w:vAlign w:val="center"/>
          </w:tcPr>
          <w:p w14:paraId="69C4FE74">
            <w:pPr>
              <w:spacing w:line="360" w:lineRule="auto"/>
              <w:jc w:val="center"/>
              <w:rPr>
                <w:rFonts w:hAnsi="宋体"/>
                <w:color w:val="auto"/>
                <w:sz w:val="24"/>
                <w:highlight w:val="none"/>
              </w:rPr>
            </w:pPr>
          </w:p>
        </w:tc>
        <w:tc>
          <w:tcPr>
            <w:tcW w:w="768" w:type="pct"/>
            <w:vAlign w:val="center"/>
          </w:tcPr>
          <w:p w14:paraId="32A0A354">
            <w:pPr>
              <w:spacing w:line="360" w:lineRule="auto"/>
              <w:jc w:val="center"/>
              <w:rPr>
                <w:rFonts w:hAnsi="宋体"/>
                <w:color w:val="auto"/>
                <w:sz w:val="24"/>
                <w:highlight w:val="none"/>
              </w:rPr>
            </w:pPr>
          </w:p>
        </w:tc>
        <w:tc>
          <w:tcPr>
            <w:tcW w:w="549" w:type="pct"/>
            <w:vAlign w:val="center"/>
          </w:tcPr>
          <w:p w14:paraId="3CFF289B">
            <w:pPr>
              <w:spacing w:line="360" w:lineRule="auto"/>
              <w:jc w:val="center"/>
              <w:rPr>
                <w:rFonts w:hAnsi="宋体"/>
                <w:color w:val="auto"/>
                <w:sz w:val="24"/>
                <w:highlight w:val="none"/>
              </w:rPr>
            </w:pPr>
          </w:p>
        </w:tc>
      </w:tr>
      <w:tr w14:paraId="336F2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5" w:type="pct"/>
            <w:vAlign w:val="center"/>
          </w:tcPr>
          <w:p w14:paraId="1CD6FCB2">
            <w:pPr>
              <w:spacing w:line="360" w:lineRule="auto"/>
              <w:jc w:val="center"/>
              <w:rPr>
                <w:rFonts w:hAnsi="宋体"/>
                <w:color w:val="auto"/>
                <w:sz w:val="24"/>
                <w:highlight w:val="none"/>
              </w:rPr>
            </w:pPr>
          </w:p>
        </w:tc>
        <w:tc>
          <w:tcPr>
            <w:tcW w:w="885" w:type="pct"/>
            <w:vAlign w:val="center"/>
          </w:tcPr>
          <w:p w14:paraId="5854BB1D">
            <w:pPr>
              <w:spacing w:line="360" w:lineRule="auto"/>
              <w:jc w:val="center"/>
              <w:rPr>
                <w:rFonts w:hAnsi="宋体"/>
                <w:color w:val="auto"/>
                <w:sz w:val="24"/>
                <w:highlight w:val="none"/>
              </w:rPr>
            </w:pPr>
            <w:r>
              <w:rPr>
                <w:rFonts w:hint="eastAsia" w:hAnsi="宋体"/>
                <w:color w:val="auto"/>
                <w:sz w:val="24"/>
                <w:highlight w:val="none"/>
              </w:rPr>
              <w:t>.</w:t>
            </w:r>
            <w:r>
              <w:rPr>
                <w:rFonts w:hAnsi="宋体"/>
                <w:color w:val="auto"/>
                <w:sz w:val="24"/>
                <w:highlight w:val="none"/>
              </w:rPr>
              <w:t>.....</w:t>
            </w:r>
          </w:p>
        </w:tc>
        <w:tc>
          <w:tcPr>
            <w:tcW w:w="844" w:type="pct"/>
            <w:vAlign w:val="center"/>
          </w:tcPr>
          <w:p w14:paraId="0BEA630C">
            <w:pPr>
              <w:spacing w:line="360" w:lineRule="auto"/>
              <w:jc w:val="center"/>
              <w:rPr>
                <w:rFonts w:hAnsi="宋体"/>
                <w:color w:val="auto"/>
                <w:sz w:val="24"/>
                <w:highlight w:val="none"/>
              </w:rPr>
            </w:pPr>
          </w:p>
        </w:tc>
        <w:tc>
          <w:tcPr>
            <w:tcW w:w="538" w:type="pct"/>
            <w:vAlign w:val="center"/>
          </w:tcPr>
          <w:p w14:paraId="36FEB09E">
            <w:pPr>
              <w:spacing w:line="360" w:lineRule="auto"/>
              <w:jc w:val="center"/>
              <w:rPr>
                <w:rFonts w:hAnsi="宋体"/>
                <w:color w:val="auto"/>
                <w:sz w:val="24"/>
                <w:highlight w:val="none"/>
              </w:rPr>
            </w:pPr>
          </w:p>
        </w:tc>
        <w:tc>
          <w:tcPr>
            <w:tcW w:w="537" w:type="pct"/>
            <w:vAlign w:val="center"/>
          </w:tcPr>
          <w:p w14:paraId="5D6EE113">
            <w:pPr>
              <w:spacing w:line="360" w:lineRule="auto"/>
              <w:jc w:val="center"/>
              <w:rPr>
                <w:rFonts w:hAnsi="宋体"/>
                <w:color w:val="auto"/>
                <w:sz w:val="24"/>
                <w:highlight w:val="none"/>
              </w:rPr>
            </w:pPr>
          </w:p>
        </w:tc>
        <w:tc>
          <w:tcPr>
            <w:tcW w:w="614" w:type="pct"/>
            <w:vAlign w:val="center"/>
          </w:tcPr>
          <w:p w14:paraId="32E8B8C8">
            <w:pPr>
              <w:spacing w:line="360" w:lineRule="auto"/>
              <w:jc w:val="center"/>
              <w:rPr>
                <w:rFonts w:hAnsi="宋体"/>
                <w:color w:val="auto"/>
                <w:sz w:val="24"/>
                <w:highlight w:val="none"/>
              </w:rPr>
            </w:pPr>
          </w:p>
        </w:tc>
        <w:tc>
          <w:tcPr>
            <w:tcW w:w="768" w:type="pct"/>
            <w:vAlign w:val="center"/>
          </w:tcPr>
          <w:p w14:paraId="7FD6378A">
            <w:pPr>
              <w:spacing w:line="360" w:lineRule="auto"/>
              <w:jc w:val="center"/>
              <w:rPr>
                <w:rFonts w:hAnsi="宋体"/>
                <w:color w:val="auto"/>
                <w:sz w:val="24"/>
                <w:highlight w:val="none"/>
              </w:rPr>
            </w:pPr>
          </w:p>
        </w:tc>
        <w:tc>
          <w:tcPr>
            <w:tcW w:w="549" w:type="pct"/>
            <w:vAlign w:val="center"/>
          </w:tcPr>
          <w:p w14:paraId="1D8A956E">
            <w:pPr>
              <w:spacing w:line="360" w:lineRule="auto"/>
              <w:jc w:val="center"/>
              <w:rPr>
                <w:rFonts w:hAnsi="宋体"/>
                <w:color w:val="auto"/>
                <w:sz w:val="24"/>
                <w:highlight w:val="none"/>
              </w:rPr>
            </w:pPr>
          </w:p>
        </w:tc>
      </w:tr>
    </w:tbl>
    <w:p w14:paraId="79AB082C">
      <w:pPr>
        <w:spacing w:line="360" w:lineRule="auto"/>
        <w:rPr>
          <w:rFonts w:hAnsi="宋体"/>
          <w:color w:val="auto"/>
          <w:sz w:val="24"/>
          <w:szCs w:val="24"/>
          <w:highlight w:val="none"/>
        </w:rPr>
      </w:pPr>
      <w:r>
        <w:rPr>
          <w:rFonts w:hint="eastAsia" w:hAnsi="宋体"/>
          <w:color w:val="auto"/>
          <w:sz w:val="24"/>
          <w:szCs w:val="24"/>
          <w:highlight w:val="none"/>
        </w:rPr>
        <w:t>附：按照招标文件要求提供相应证明材料。</w:t>
      </w:r>
    </w:p>
    <w:p w14:paraId="030D6E5E">
      <w:pPr>
        <w:pStyle w:val="16"/>
        <w:spacing w:before="0" w:line="360" w:lineRule="auto"/>
        <w:ind w:left="0"/>
        <w:jc w:val="both"/>
        <w:rPr>
          <w:rFonts w:hAnsi="宋体"/>
          <w:color w:val="auto"/>
          <w:sz w:val="24"/>
          <w:szCs w:val="24"/>
          <w:highlight w:val="none"/>
        </w:rPr>
      </w:pPr>
    </w:p>
    <w:p w14:paraId="4D5ACA43">
      <w:pPr>
        <w:pStyle w:val="16"/>
        <w:spacing w:before="0" w:line="360" w:lineRule="auto"/>
        <w:ind w:left="0"/>
        <w:jc w:val="both"/>
        <w:rPr>
          <w:rFonts w:hAnsi="宋体"/>
          <w:color w:val="auto"/>
          <w:sz w:val="24"/>
          <w:szCs w:val="24"/>
          <w:highlight w:val="none"/>
        </w:rPr>
      </w:pPr>
    </w:p>
    <w:p w14:paraId="5BCD4554">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159F2028">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0C68B15D">
      <w:pPr>
        <w:spacing w:line="360" w:lineRule="auto"/>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Ansi="宋体"/>
          <w:color w:val="auto"/>
          <w:sz w:val="24"/>
          <w:szCs w:val="24"/>
          <w:highlight w:val="none"/>
        </w:rPr>
        <w:t>日期：    年    月    日</w:t>
      </w:r>
    </w:p>
    <w:p w14:paraId="57FE0911">
      <w:pPr>
        <w:pStyle w:val="3"/>
        <w:spacing w:line="360" w:lineRule="auto"/>
        <w:ind w:left="0"/>
        <w:rPr>
          <w:rFonts w:hAnsi="宋体"/>
          <w:bCs w:val="0"/>
          <w:color w:val="auto"/>
          <w:sz w:val="24"/>
          <w:szCs w:val="24"/>
          <w:highlight w:val="none"/>
        </w:rPr>
      </w:pPr>
      <w:r>
        <w:rPr>
          <w:rFonts w:hAnsi="宋体"/>
          <w:bCs w:val="0"/>
          <w:color w:val="auto"/>
          <w:sz w:val="24"/>
          <w:szCs w:val="24"/>
          <w:highlight w:val="none"/>
        </w:rPr>
        <w:t>12</w:t>
      </w:r>
      <w:r>
        <w:rPr>
          <w:rFonts w:hint="eastAsia" w:hAnsi="宋体"/>
          <w:bCs w:val="0"/>
          <w:color w:val="auto"/>
          <w:sz w:val="24"/>
          <w:szCs w:val="24"/>
          <w:highlight w:val="none"/>
        </w:rPr>
        <w:t>、拟投入本项目的养护（保洁）车辆情况一览表</w:t>
      </w:r>
    </w:p>
    <w:p w14:paraId="316CBB75">
      <w:pPr>
        <w:spacing w:line="360" w:lineRule="auto"/>
        <w:jc w:val="center"/>
        <w:rPr>
          <w:rFonts w:hAnsi="宋体" w:cs="Times New Roman"/>
          <w:b/>
          <w:color w:val="auto"/>
          <w:sz w:val="30"/>
          <w:szCs w:val="30"/>
          <w:highlight w:val="none"/>
        </w:rPr>
      </w:pPr>
    </w:p>
    <w:p w14:paraId="0915719D">
      <w:pPr>
        <w:spacing w:line="360" w:lineRule="auto"/>
        <w:jc w:val="center"/>
        <w:rPr>
          <w:rFonts w:hAnsi="宋体" w:cs="Times New Roman"/>
          <w:b/>
          <w:color w:val="auto"/>
          <w:sz w:val="30"/>
          <w:szCs w:val="30"/>
          <w:highlight w:val="none"/>
        </w:rPr>
      </w:pPr>
      <w:r>
        <w:rPr>
          <w:rFonts w:hint="eastAsia" w:hAnsi="宋体" w:cs="Times New Roman"/>
          <w:b/>
          <w:color w:val="auto"/>
          <w:sz w:val="30"/>
          <w:szCs w:val="30"/>
          <w:highlight w:val="none"/>
        </w:rPr>
        <w:t>拟投入本项目的养护（保洁）车辆情况一览表</w:t>
      </w:r>
    </w:p>
    <w:p w14:paraId="6F8490CB">
      <w:pPr>
        <w:spacing w:line="360" w:lineRule="auto"/>
        <w:rPr>
          <w:rFonts w:hAnsi="宋体"/>
          <w:b/>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采购项目编号：</w:t>
      </w:r>
    </w:p>
    <w:tbl>
      <w:tblPr>
        <w:tblStyle w:val="42"/>
        <w:tblW w:w="95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2564"/>
        <w:gridCol w:w="1413"/>
        <w:gridCol w:w="1411"/>
        <w:gridCol w:w="1200"/>
        <w:gridCol w:w="1351"/>
        <w:gridCol w:w="890"/>
      </w:tblGrid>
      <w:tr w14:paraId="31303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14:paraId="4FAEFEE2">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lang w:val="zh-CN"/>
              </w:rPr>
              <w:t>序号</w:t>
            </w:r>
          </w:p>
        </w:tc>
        <w:tc>
          <w:tcPr>
            <w:tcW w:w="2564" w:type="dxa"/>
            <w:tcBorders>
              <w:top w:val="single" w:color="auto" w:sz="4" w:space="0"/>
              <w:left w:val="single" w:color="auto" w:sz="4" w:space="0"/>
              <w:bottom w:val="single" w:color="auto" w:sz="4" w:space="0"/>
              <w:right w:val="single" w:color="auto" w:sz="4" w:space="0"/>
            </w:tcBorders>
            <w:vAlign w:val="center"/>
          </w:tcPr>
          <w:p w14:paraId="003679B0">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rPr>
              <w:t>车辆名称</w:t>
            </w:r>
          </w:p>
        </w:tc>
        <w:tc>
          <w:tcPr>
            <w:tcW w:w="1413" w:type="dxa"/>
            <w:tcBorders>
              <w:top w:val="single" w:color="auto" w:sz="4" w:space="0"/>
              <w:left w:val="single" w:color="auto" w:sz="4" w:space="0"/>
              <w:bottom w:val="single" w:color="auto" w:sz="4" w:space="0"/>
              <w:right w:val="single" w:color="auto" w:sz="4" w:space="0"/>
            </w:tcBorders>
            <w:vAlign w:val="center"/>
          </w:tcPr>
          <w:p w14:paraId="23FBFEE7">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rPr>
              <w:t>品牌、型号</w:t>
            </w:r>
          </w:p>
        </w:tc>
        <w:tc>
          <w:tcPr>
            <w:tcW w:w="1411" w:type="dxa"/>
            <w:tcBorders>
              <w:top w:val="single" w:color="auto" w:sz="4" w:space="0"/>
              <w:left w:val="single" w:color="auto" w:sz="4" w:space="0"/>
              <w:bottom w:val="single" w:color="auto" w:sz="4" w:space="0"/>
              <w:right w:val="single" w:color="auto" w:sz="4" w:space="0"/>
            </w:tcBorders>
            <w:vAlign w:val="center"/>
          </w:tcPr>
          <w:p w14:paraId="27BC944A">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rPr>
              <w:t>车牌号</w:t>
            </w:r>
          </w:p>
        </w:tc>
        <w:tc>
          <w:tcPr>
            <w:tcW w:w="1200" w:type="dxa"/>
            <w:tcBorders>
              <w:top w:val="single" w:color="auto" w:sz="4" w:space="0"/>
              <w:left w:val="single" w:color="auto" w:sz="4" w:space="0"/>
              <w:bottom w:val="single" w:color="auto" w:sz="4" w:space="0"/>
              <w:right w:val="single" w:color="auto" w:sz="4" w:space="0"/>
            </w:tcBorders>
            <w:vAlign w:val="center"/>
          </w:tcPr>
          <w:p w14:paraId="7E9896FD">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rPr>
              <w:t>租赁/自有</w:t>
            </w:r>
          </w:p>
        </w:tc>
        <w:tc>
          <w:tcPr>
            <w:tcW w:w="1351" w:type="dxa"/>
            <w:tcBorders>
              <w:top w:val="single" w:color="auto" w:sz="4" w:space="0"/>
              <w:left w:val="single" w:color="auto" w:sz="4" w:space="0"/>
              <w:bottom w:val="single" w:color="auto" w:sz="4" w:space="0"/>
              <w:right w:val="single" w:color="auto" w:sz="4" w:space="0"/>
            </w:tcBorders>
            <w:vAlign w:val="center"/>
          </w:tcPr>
          <w:p w14:paraId="647453DA">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rPr>
              <w:t>用途</w:t>
            </w:r>
          </w:p>
        </w:tc>
        <w:tc>
          <w:tcPr>
            <w:tcW w:w="890" w:type="dxa"/>
            <w:tcBorders>
              <w:top w:val="single" w:color="auto" w:sz="4" w:space="0"/>
              <w:left w:val="single" w:color="auto" w:sz="4" w:space="0"/>
              <w:bottom w:val="single" w:color="auto" w:sz="4" w:space="0"/>
              <w:right w:val="single" w:color="auto" w:sz="4" w:space="0"/>
            </w:tcBorders>
            <w:vAlign w:val="center"/>
          </w:tcPr>
          <w:p w14:paraId="40F69186">
            <w:pPr>
              <w:autoSpaceDE w:val="0"/>
              <w:autoSpaceDN w:val="0"/>
              <w:adjustRightInd w:val="0"/>
              <w:snapToGrid w:val="0"/>
              <w:jc w:val="center"/>
              <w:rPr>
                <w:rFonts w:hAnsi="宋体"/>
                <w:color w:val="auto"/>
                <w:kern w:val="2"/>
                <w:sz w:val="24"/>
                <w:szCs w:val="24"/>
                <w:highlight w:val="none"/>
              </w:rPr>
            </w:pPr>
            <w:r>
              <w:rPr>
                <w:rFonts w:hint="eastAsia" w:hAnsi="宋体"/>
                <w:color w:val="auto"/>
                <w:kern w:val="2"/>
                <w:sz w:val="24"/>
                <w:szCs w:val="24"/>
                <w:highlight w:val="none"/>
                <w:lang w:val="zh-CN"/>
              </w:rPr>
              <w:t>备注</w:t>
            </w:r>
          </w:p>
        </w:tc>
      </w:tr>
      <w:tr w14:paraId="6D33D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14:paraId="30001785">
            <w:pPr>
              <w:autoSpaceDE w:val="0"/>
              <w:autoSpaceDN w:val="0"/>
              <w:adjustRightInd w:val="0"/>
              <w:snapToGrid w:val="0"/>
              <w:jc w:val="both"/>
              <w:rPr>
                <w:rFonts w:hAnsi="宋体"/>
                <w:color w:val="auto"/>
                <w:kern w:val="2"/>
                <w:sz w:val="24"/>
                <w:szCs w:val="24"/>
                <w:highlight w:val="none"/>
              </w:rPr>
            </w:pPr>
          </w:p>
        </w:tc>
        <w:tc>
          <w:tcPr>
            <w:tcW w:w="2564" w:type="dxa"/>
            <w:tcBorders>
              <w:top w:val="single" w:color="auto" w:sz="4" w:space="0"/>
              <w:left w:val="single" w:color="auto" w:sz="4" w:space="0"/>
              <w:bottom w:val="single" w:color="auto" w:sz="4" w:space="0"/>
              <w:right w:val="single" w:color="auto" w:sz="4" w:space="0"/>
            </w:tcBorders>
            <w:vAlign w:val="center"/>
          </w:tcPr>
          <w:p w14:paraId="573F0FC8">
            <w:pPr>
              <w:autoSpaceDE w:val="0"/>
              <w:autoSpaceDN w:val="0"/>
              <w:adjustRightInd w:val="0"/>
              <w:snapToGrid w:val="0"/>
              <w:jc w:val="both"/>
              <w:rPr>
                <w:rFonts w:hAnsi="宋体"/>
                <w:color w:val="auto"/>
                <w:kern w:val="2"/>
                <w:sz w:val="24"/>
                <w:szCs w:val="24"/>
                <w:highlight w:val="none"/>
              </w:rPr>
            </w:pPr>
          </w:p>
        </w:tc>
        <w:tc>
          <w:tcPr>
            <w:tcW w:w="1413" w:type="dxa"/>
            <w:tcBorders>
              <w:top w:val="single" w:color="auto" w:sz="4" w:space="0"/>
              <w:left w:val="single" w:color="auto" w:sz="4" w:space="0"/>
              <w:bottom w:val="single" w:color="auto" w:sz="4" w:space="0"/>
              <w:right w:val="single" w:color="auto" w:sz="4" w:space="0"/>
            </w:tcBorders>
            <w:vAlign w:val="center"/>
          </w:tcPr>
          <w:p w14:paraId="3B73FE86">
            <w:pPr>
              <w:autoSpaceDE w:val="0"/>
              <w:autoSpaceDN w:val="0"/>
              <w:adjustRightInd w:val="0"/>
              <w:snapToGrid w:val="0"/>
              <w:jc w:val="both"/>
              <w:rPr>
                <w:rFonts w:hAnsi="宋体"/>
                <w:color w:val="auto"/>
                <w:kern w:val="2"/>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vAlign w:val="center"/>
          </w:tcPr>
          <w:p w14:paraId="7AB51FC3">
            <w:pPr>
              <w:autoSpaceDE w:val="0"/>
              <w:autoSpaceDN w:val="0"/>
              <w:adjustRightInd w:val="0"/>
              <w:snapToGrid w:val="0"/>
              <w:jc w:val="both"/>
              <w:rPr>
                <w:rFonts w:hAnsi="宋体"/>
                <w:color w:val="auto"/>
                <w:kern w:val="2"/>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12A45C60">
            <w:pPr>
              <w:autoSpaceDE w:val="0"/>
              <w:autoSpaceDN w:val="0"/>
              <w:adjustRightInd w:val="0"/>
              <w:snapToGrid w:val="0"/>
              <w:jc w:val="both"/>
              <w:rPr>
                <w:rFonts w:hAnsi="宋体"/>
                <w:color w:val="auto"/>
                <w:kern w:val="2"/>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vAlign w:val="center"/>
          </w:tcPr>
          <w:p w14:paraId="45FA409E">
            <w:pPr>
              <w:autoSpaceDE w:val="0"/>
              <w:autoSpaceDN w:val="0"/>
              <w:adjustRightInd w:val="0"/>
              <w:snapToGrid w:val="0"/>
              <w:jc w:val="both"/>
              <w:rPr>
                <w:rFonts w:hAnsi="宋体"/>
                <w:color w:val="auto"/>
                <w:kern w:val="2"/>
                <w:sz w:val="24"/>
                <w:szCs w:val="24"/>
                <w:highlight w:val="none"/>
              </w:rPr>
            </w:pPr>
          </w:p>
        </w:tc>
        <w:tc>
          <w:tcPr>
            <w:tcW w:w="890" w:type="dxa"/>
            <w:tcBorders>
              <w:top w:val="single" w:color="auto" w:sz="4" w:space="0"/>
              <w:left w:val="single" w:color="auto" w:sz="4" w:space="0"/>
              <w:bottom w:val="single" w:color="auto" w:sz="4" w:space="0"/>
              <w:right w:val="single" w:color="auto" w:sz="4" w:space="0"/>
            </w:tcBorders>
            <w:vAlign w:val="center"/>
          </w:tcPr>
          <w:p w14:paraId="26B68EAE">
            <w:pPr>
              <w:autoSpaceDE w:val="0"/>
              <w:autoSpaceDN w:val="0"/>
              <w:adjustRightInd w:val="0"/>
              <w:snapToGrid w:val="0"/>
              <w:jc w:val="both"/>
              <w:rPr>
                <w:rFonts w:hAnsi="宋体"/>
                <w:color w:val="auto"/>
                <w:kern w:val="2"/>
                <w:sz w:val="24"/>
                <w:szCs w:val="24"/>
                <w:highlight w:val="none"/>
              </w:rPr>
            </w:pPr>
          </w:p>
        </w:tc>
      </w:tr>
      <w:tr w14:paraId="1F772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14:paraId="7FD48AEF">
            <w:pPr>
              <w:autoSpaceDE w:val="0"/>
              <w:autoSpaceDN w:val="0"/>
              <w:adjustRightInd w:val="0"/>
              <w:snapToGrid w:val="0"/>
              <w:jc w:val="both"/>
              <w:rPr>
                <w:rFonts w:hAnsi="宋体"/>
                <w:color w:val="auto"/>
                <w:kern w:val="2"/>
                <w:sz w:val="24"/>
                <w:szCs w:val="24"/>
                <w:highlight w:val="none"/>
              </w:rPr>
            </w:pPr>
          </w:p>
        </w:tc>
        <w:tc>
          <w:tcPr>
            <w:tcW w:w="2564" w:type="dxa"/>
            <w:tcBorders>
              <w:top w:val="single" w:color="auto" w:sz="4" w:space="0"/>
              <w:left w:val="single" w:color="auto" w:sz="4" w:space="0"/>
              <w:bottom w:val="single" w:color="auto" w:sz="4" w:space="0"/>
              <w:right w:val="single" w:color="auto" w:sz="4" w:space="0"/>
            </w:tcBorders>
            <w:vAlign w:val="center"/>
          </w:tcPr>
          <w:p w14:paraId="6B9BDD53">
            <w:pPr>
              <w:autoSpaceDE w:val="0"/>
              <w:autoSpaceDN w:val="0"/>
              <w:adjustRightInd w:val="0"/>
              <w:snapToGrid w:val="0"/>
              <w:jc w:val="both"/>
              <w:rPr>
                <w:rFonts w:hAnsi="宋体"/>
                <w:color w:val="auto"/>
                <w:kern w:val="2"/>
                <w:sz w:val="24"/>
                <w:szCs w:val="24"/>
                <w:highlight w:val="none"/>
              </w:rPr>
            </w:pPr>
          </w:p>
        </w:tc>
        <w:tc>
          <w:tcPr>
            <w:tcW w:w="1413" w:type="dxa"/>
            <w:tcBorders>
              <w:top w:val="single" w:color="auto" w:sz="4" w:space="0"/>
              <w:left w:val="single" w:color="auto" w:sz="4" w:space="0"/>
              <w:bottom w:val="single" w:color="auto" w:sz="4" w:space="0"/>
              <w:right w:val="single" w:color="auto" w:sz="4" w:space="0"/>
            </w:tcBorders>
            <w:vAlign w:val="center"/>
          </w:tcPr>
          <w:p w14:paraId="122DBFF7">
            <w:pPr>
              <w:autoSpaceDE w:val="0"/>
              <w:autoSpaceDN w:val="0"/>
              <w:adjustRightInd w:val="0"/>
              <w:snapToGrid w:val="0"/>
              <w:jc w:val="both"/>
              <w:rPr>
                <w:rFonts w:hAnsi="宋体"/>
                <w:color w:val="auto"/>
                <w:kern w:val="2"/>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vAlign w:val="center"/>
          </w:tcPr>
          <w:p w14:paraId="32A28822">
            <w:pPr>
              <w:autoSpaceDE w:val="0"/>
              <w:autoSpaceDN w:val="0"/>
              <w:adjustRightInd w:val="0"/>
              <w:snapToGrid w:val="0"/>
              <w:jc w:val="both"/>
              <w:rPr>
                <w:rFonts w:hAnsi="宋体"/>
                <w:color w:val="auto"/>
                <w:kern w:val="2"/>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275875BF">
            <w:pPr>
              <w:autoSpaceDE w:val="0"/>
              <w:autoSpaceDN w:val="0"/>
              <w:adjustRightInd w:val="0"/>
              <w:snapToGrid w:val="0"/>
              <w:jc w:val="both"/>
              <w:rPr>
                <w:rFonts w:hAnsi="宋体"/>
                <w:color w:val="auto"/>
                <w:kern w:val="2"/>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vAlign w:val="center"/>
          </w:tcPr>
          <w:p w14:paraId="2A785FE5">
            <w:pPr>
              <w:autoSpaceDE w:val="0"/>
              <w:autoSpaceDN w:val="0"/>
              <w:adjustRightInd w:val="0"/>
              <w:snapToGrid w:val="0"/>
              <w:jc w:val="both"/>
              <w:rPr>
                <w:rFonts w:hAnsi="宋体"/>
                <w:color w:val="auto"/>
                <w:kern w:val="2"/>
                <w:sz w:val="24"/>
                <w:szCs w:val="24"/>
                <w:highlight w:val="none"/>
              </w:rPr>
            </w:pPr>
          </w:p>
        </w:tc>
        <w:tc>
          <w:tcPr>
            <w:tcW w:w="890" w:type="dxa"/>
            <w:tcBorders>
              <w:top w:val="single" w:color="auto" w:sz="4" w:space="0"/>
              <w:left w:val="single" w:color="auto" w:sz="4" w:space="0"/>
              <w:bottom w:val="single" w:color="auto" w:sz="4" w:space="0"/>
              <w:right w:val="single" w:color="auto" w:sz="4" w:space="0"/>
            </w:tcBorders>
            <w:vAlign w:val="center"/>
          </w:tcPr>
          <w:p w14:paraId="102D18B0">
            <w:pPr>
              <w:autoSpaceDE w:val="0"/>
              <w:autoSpaceDN w:val="0"/>
              <w:adjustRightInd w:val="0"/>
              <w:snapToGrid w:val="0"/>
              <w:jc w:val="both"/>
              <w:rPr>
                <w:rFonts w:hAnsi="宋体"/>
                <w:color w:val="auto"/>
                <w:kern w:val="2"/>
                <w:sz w:val="24"/>
                <w:szCs w:val="24"/>
                <w:highlight w:val="none"/>
              </w:rPr>
            </w:pPr>
          </w:p>
        </w:tc>
      </w:tr>
      <w:tr w14:paraId="7C079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14:paraId="342F143E">
            <w:pPr>
              <w:autoSpaceDE w:val="0"/>
              <w:autoSpaceDN w:val="0"/>
              <w:adjustRightInd w:val="0"/>
              <w:snapToGrid w:val="0"/>
              <w:jc w:val="both"/>
              <w:rPr>
                <w:rFonts w:hAnsi="宋体"/>
                <w:color w:val="auto"/>
                <w:kern w:val="2"/>
                <w:sz w:val="24"/>
                <w:szCs w:val="24"/>
                <w:highlight w:val="none"/>
              </w:rPr>
            </w:pPr>
          </w:p>
        </w:tc>
        <w:tc>
          <w:tcPr>
            <w:tcW w:w="2564" w:type="dxa"/>
            <w:tcBorders>
              <w:top w:val="single" w:color="auto" w:sz="4" w:space="0"/>
              <w:left w:val="single" w:color="auto" w:sz="4" w:space="0"/>
              <w:bottom w:val="single" w:color="auto" w:sz="4" w:space="0"/>
              <w:right w:val="single" w:color="auto" w:sz="4" w:space="0"/>
            </w:tcBorders>
            <w:vAlign w:val="center"/>
          </w:tcPr>
          <w:p w14:paraId="17CA9721">
            <w:pPr>
              <w:autoSpaceDE w:val="0"/>
              <w:autoSpaceDN w:val="0"/>
              <w:adjustRightInd w:val="0"/>
              <w:snapToGrid w:val="0"/>
              <w:jc w:val="both"/>
              <w:rPr>
                <w:rFonts w:hAnsi="宋体"/>
                <w:color w:val="auto"/>
                <w:kern w:val="2"/>
                <w:sz w:val="24"/>
                <w:szCs w:val="24"/>
                <w:highlight w:val="none"/>
              </w:rPr>
            </w:pPr>
          </w:p>
        </w:tc>
        <w:tc>
          <w:tcPr>
            <w:tcW w:w="1413" w:type="dxa"/>
            <w:tcBorders>
              <w:top w:val="single" w:color="auto" w:sz="4" w:space="0"/>
              <w:left w:val="single" w:color="auto" w:sz="4" w:space="0"/>
              <w:bottom w:val="single" w:color="auto" w:sz="4" w:space="0"/>
              <w:right w:val="single" w:color="auto" w:sz="4" w:space="0"/>
            </w:tcBorders>
            <w:vAlign w:val="center"/>
          </w:tcPr>
          <w:p w14:paraId="086792DC">
            <w:pPr>
              <w:autoSpaceDE w:val="0"/>
              <w:autoSpaceDN w:val="0"/>
              <w:adjustRightInd w:val="0"/>
              <w:snapToGrid w:val="0"/>
              <w:jc w:val="both"/>
              <w:rPr>
                <w:rFonts w:hAnsi="宋体"/>
                <w:color w:val="auto"/>
                <w:kern w:val="2"/>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vAlign w:val="center"/>
          </w:tcPr>
          <w:p w14:paraId="06E551C5">
            <w:pPr>
              <w:autoSpaceDE w:val="0"/>
              <w:autoSpaceDN w:val="0"/>
              <w:adjustRightInd w:val="0"/>
              <w:snapToGrid w:val="0"/>
              <w:jc w:val="both"/>
              <w:rPr>
                <w:rFonts w:hAnsi="宋体"/>
                <w:color w:val="auto"/>
                <w:kern w:val="2"/>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299B7B56">
            <w:pPr>
              <w:autoSpaceDE w:val="0"/>
              <w:autoSpaceDN w:val="0"/>
              <w:adjustRightInd w:val="0"/>
              <w:snapToGrid w:val="0"/>
              <w:jc w:val="both"/>
              <w:rPr>
                <w:rFonts w:hAnsi="宋体"/>
                <w:color w:val="auto"/>
                <w:kern w:val="2"/>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vAlign w:val="center"/>
          </w:tcPr>
          <w:p w14:paraId="73E9399B">
            <w:pPr>
              <w:autoSpaceDE w:val="0"/>
              <w:autoSpaceDN w:val="0"/>
              <w:adjustRightInd w:val="0"/>
              <w:snapToGrid w:val="0"/>
              <w:jc w:val="both"/>
              <w:rPr>
                <w:rFonts w:hAnsi="宋体"/>
                <w:color w:val="auto"/>
                <w:kern w:val="2"/>
                <w:sz w:val="24"/>
                <w:szCs w:val="24"/>
                <w:highlight w:val="none"/>
              </w:rPr>
            </w:pPr>
          </w:p>
        </w:tc>
        <w:tc>
          <w:tcPr>
            <w:tcW w:w="890" w:type="dxa"/>
            <w:tcBorders>
              <w:top w:val="single" w:color="auto" w:sz="4" w:space="0"/>
              <w:left w:val="single" w:color="auto" w:sz="4" w:space="0"/>
              <w:bottom w:val="single" w:color="auto" w:sz="4" w:space="0"/>
              <w:right w:val="single" w:color="auto" w:sz="4" w:space="0"/>
            </w:tcBorders>
            <w:vAlign w:val="center"/>
          </w:tcPr>
          <w:p w14:paraId="4143C47E">
            <w:pPr>
              <w:autoSpaceDE w:val="0"/>
              <w:autoSpaceDN w:val="0"/>
              <w:adjustRightInd w:val="0"/>
              <w:snapToGrid w:val="0"/>
              <w:jc w:val="both"/>
              <w:rPr>
                <w:rFonts w:hAnsi="宋体"/>
                <w:color w:val="auto"/>
                <w:kern w:val="2"/>
                <w:sz w:val="24"/>
                <w:szCs w:val="24"/>
                <w:highlight w:val="none"/>
              </w:rPr>
            </w:pPr>
          </w:p>
        </w:tc>
      </w:tr>
      <w:tr w14:paraId="5D27D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exact"/>
          <w:jc w:val="center"/>
        </w:trPr>
        <w:tc>
          <w:tcPr>
            <w:tcW w:w="720" w:type="dxa"/>
            <w:tcBorders>
              <w:top w:val="single" w:color="auto" w:sz="4" w:space="0"/>
              <w:left w:val="single" w:color="auto" w:sz="4" w:space="0"/>
              <w:bottom w:val="single" w:color="auto" w:sz="4" w:space="0"/>
              <w:right w:val="single" w:color="auto" w:sz="4" w:space="0"/>
            </w:tcBorders>
            <w:vAlign w:val="center"/>
          </w:tcPr>
          <w:p w14:paraId="5E1B655F">
            <w:pPr>
              <w:autoSpaceDE w:val="0"/>
              <w:autoSpaceDN w:val="0"/>
              <w:adjustRightInd w:val="0"/>
              <w:snapToGrid w:val="0"/>
              <w:jc w:val="both"/>
              <w:rPr>
                <w:rFonts w:hAnsi="宋体"/>
                <w:color w:val="auto"/>
                <w:kern w:val="2"/>
                <w:sz w:val="24"/>
                <w:szCs w:val="24"/>
                <w:highlight w:val="none"/>
              </w:rPr>
            </w:pPr>
          </w:p>
        </w:tc>
        <w:tc>
          <w:tcPr>
            <w:tcW w:w="2564" w:type="dxa"/>
            <w:tcBorders>
              <w:top w:val="single" w:color="auto" w:sz="4" w:space="0"/>
              <w:left w:val="single" w:color="auto" w:sz="4" w:space="0"/>
              <w:bottom w:val="single" w:color="auto" w:sz="4" w:space="0"/>
              <w:right w:val="single" w:color="auto" w:sz="4" w:space="0"/>
            </w:tcBorders>
            <w:vAlign w:val="center"/>
          </w:tcPr>
          <w:p w14:paraId="77F2BD7B">
            <w:pPr>
              <w:autoSpaceDE w:val="0"/>
              <w:autoSpaceDN w:val="0"/>
              <w:adjustRightInd w:val="0"/>
              <w:snapToGrid w:val="0"/>
              <w:jc w:val="both"/>
              <w:rPr>
                <w:rFonts w:hAnsi="宋体"/>
                <w:color w:val="auto"/>
                <w:kern w:val="2"/>
                <w:sz w:val="24"/>
                <w:szCs w:val="24"/>
                <w:highlight w:val="none"/>
              </w:rPr>
            </w:pPr>
          </w:p>
        </w:tc>
        <w:tc>
          <w:tcPr>
            <w:tcW w:w="1413" w:type="dxa"/>
            <w:tcBorders>
              <w:top w:val="single" w:color="auto" w:sz="4" w:space="0"/>
              <w:left w:val="single" w:color="auto" w:sz="4" w:space="0"/>
              <w:bottom w:val="single" w:color="auto" w:sz="4" w:space="0"/>
              <w:right w:val="single" w:color="auto" w:sz="4" w:space="0"/>
            </w:tcBorders>
            <w:vAlign w:val="center"/>
          </w:tcPr>
          <w:p w14:paraId="5BB72F56">
            <w:pPr>
              <w:autoSpaceDE w:val="0"/>
              <w:autoSpaceDN w:val="0"/>
              <w:adjustRightInd w:val="0"/>
              <w:snapToGrid w:val="0"/>
              <w:jc w:val="both"/>
              <w:rPr>
                <w:rFonts w:hAnsi="宋体"/>
                <w:color w:val="auto"/>
                <w:kern w:val="2"/>
                <w:sz w:val="24"/>
                <w:szCs w:val="24"/>
                <w:highlight w:val="none"/>
              </w:rPr>
            </w:pPr>
          </w:p>
        </w:tc>
        <w:tc>
          <w:tcPr>
            <w:tcW w:w="1411" w:type="dxa"/>
            <w:tcBorders>
              <w:top w:val="single" w:color="auto" w:sz="4" w:space="0"/>
              <w:left w:val="single" w:color="auto" w:sz="4" w:space="0"/>
              <w:bottom w:val="single" w:color="auto" w:sz="4" w:space="0"/>
              <w:right w:val="single" w:color="auto" w:sz="4" w:space="0"/>
            </w:tcBorders>
            <w:vAlign w:val="center"/>
          </w:tcPr>
          <w:p w14:paraId="4B877365">
            <w:pPr>
              <w:autoSpaceDE w:val="0"/>
              <w:autoSpaceDN w:val="0"/>
              <w:adjustRightInd w:val="0"/>
              <w:snapToGrid w:val="0"/>
              <w:jc w:val="both"/>
              <w:rPr>
                <w:rFonts w:hAnsi="宋体"/>
                <w:color w:val="auto"/>
                <w:kern w:val="2"/>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14:paraId="338381D8">
            <w:pPr>
              <w:autoSpaceDE w:val="0"/>
              <w:autoSpaceDN w:val="0"/>
              <w:adjustRightInd w:val="0"/>
              <w:snapToGrid w:val="0"/>
              <w:jc w:val="both"/>
              <w:rPr>
                <w:rFonts w:hAnsi="宋体"/>
                <w:color w:val="auto"/>
                <w:kern w:val="2"/>
                <w:sz w:val="24"/>
                <w:szCs w:val="24"/>
                <w:highlight w:val="none"/>
              </w:rPr>
            </w:pPr>
          </w:p>
        </w:tc>
        <w:tc>
          <w:tcPr>
            <w:tcW w:w="1351" w:type="dxa"/>
            <w:tcBorders>
              <w:top w:val="single" w:color="auto" w:sz="4" w:space="0"/>
              <w:left w:val="single" w:color="auto" w:sz="4" w:space="0"/>
              <w:bottom w:val="single" w:color="auto" w:sz="4" w:space="0"/>
              <w:right w:val="single" w:color="auto" w:sz="4" w:space="0"/>
            </w:tcBorders>
            <w:vAlign w:val="center"/>
          </w:tcPr>
          <w:p w14:paraId="0272BB3B">
            <w:pPr>
              <w:autoSpaceDE w:val="0"/>
              <w:autoSpaceDN w:val="0"/>
              <w:adjustRightInd w:val="0"/>
              <w:snapToGrid w:val="0"/>
              <w:jc w:val="both"/>
              <w:rPr>
                <w:rFonts w:hAnsi="宋体"/>
                <w:color w:val="auto"/>
                <w:kern w:val="2"/>
                <w:sz w:val="24"/>
                <w:szCs w:val="24"/>
                <w:highlight w:val="none"/>
              </w:rPr>
            </w:pPr>
          </w:p>
        </w:tc>
        <w:tc>
          <w:tcPr>
            <w:tcW w:w="890" w:type="dxa"/>
            <w:tcBorders>
              <w:top w:val="single" w:color="auto" w:sz="4" w:space="0"/>
              <w:left w:val="single" w:color="auto" w:sz="4" w:space="0"/>
              <w:bottom w:val="single" w:color="auto" w:sz="4" w:space="0"/>
              <w:right w:val="single" w:color="auto" w:sz="4" w:space="0"/>
            </w:tcBorders>
            <w:vAlign w:val="center"/>
          </w:tcPr>
          <w:p w14:paraId="6ED1E3CD">
            <w:pPr>
              <w:autoSpaceDE w:val="0"/>
              <w:autoSpaceDN w:val="0"/>
              <w:adjustRightInd w:val="0"/>
              <w:snapToGrid w:val="0"/>
              <w:jc w:val="both"/>
              <w:rPr>
                <w:rFonts w:hAnsi="宋体"/>
                <w:color w:val="auto"/>
                <w:kern w:val="2"/>
                <w:sz w:val="24"/>
                <w:szCs w:val="24"/>
                <w:highlight w:val="none"/>
              </w:rPr>
            </w:pPr>
          </w:p>
        </w:tc>
      </w:tr>
    </w:tbl>
    <w:p w14:paraId="66E63A9A">
      <w:pPr>
        <w:pStyle w:val="16"/>
        <w:spacing w:before="0" w:line="360" w:lineRule="auto"/>
        <w:ind w:left="0"/>
        <w:jc w:val="both"/>
        <w:rPr>
          <w:rFonts w:hAnsi="宋体"/>
          <w:color w:val="auto"/>
          <w:sz w:val="24"/>
          <w:szCs w:val="24"/>
          <w:highlight w:val="none"/>
        </w:rPr>
      </w:pPr>
    </w:p>
    <w:p w14:paraId="2A9047BB">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47E4D3F0">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6CE96210">
      <w:pPr>
        <w:spacing w:line="360" w:lineRule="auto"/>
        <w:rPr>
          <w:rFonts w:hAnsi="宋体"/>
          <w:color w:val="auto"/>
          <w:sz w:val="24"/>
          <w:szCs w:val="24"/>
          <w:highlight w:val="none"/>
        </w:rPr>
      </w:pPr>
      <w:r>
        <w:rPr>
          <w:rFonts w:hAnsi="宋体"/>
          <w:color w:val="auto"/>
          <w:sz w:val="24"/>
          <w:szCs w:val="24"/>
          <w:highlight w:val="none"/>
        </w:rPr>
        <w:t>日期：    年    月    日</w:t>
      </w:r>
    </w:p>
    <w:p w14:paraId="554B4DFE">
      <w:pPr>
        <w:widowControl/>
        <w:rPr>
          <w:rFonts w:hAnsi="宋体"/>
          <w:color w:val="auto"/>
          <w:sz w:val="24"/>
          <w:szCs w:val="24"/>
          <w:highlight w:val="none"/>
        </w:rPr>
      </w:pPr>
      <w:r>
        <w:rPr>
          <w:rFonts w:hAnsi="宋体"/>
          <w:color w:val="auto"/>
          <w:sz w:val="24"/>
          <w:szCs w:val="24"/>
          <w:highlight w:val="none"/>
        </w:rPr>
        <w:br w:type="page"/>
      </w:r>
    </w:p>
    <w:p w14:paraId="4C4C751E">
      <w:pPr>
        <w:pStyle w:val="3"/>
        <w:spacing w:line="360" w:lineRule="auto"/>
        <w:ind w:left="0"/>
        <w:rPr>
          <w:rFonts w:hAnsi="宋体"/>
          <w:bCs w:val="0"/>
          <w:color w:val="auto"/>
          <w:sz w:val="24"/>
          <w:szCs w:val="24"/>
          <w:highlight w:val="none"/>
        </w:rPr>
      </w:pPr>
      <w:r>
        <w:rPr>
          <w:rFonts w:hAnsi="宋体"/>
          <w:bCs w:val="0"/>
          <w:color w:val="auto"/>
          <w:sz w:val="24"/>
          <w:szCs w:val="24"/>
          <w:highlight w:val="none"/>
        </w:rPr>
        <w:t>13</w:t>
      </w:r>
      <w:r>
        <w:rPr>
          <w:rFonts w:hint="eastAsia" w:hAnsi="宋体"/>
          <w:bCs w:val="0"/>
          <w:color w:val="auto"/>
          <w:sz w:val="24"/>
          <w:szCs w:val="24"/>
          <w:highlight w:val="none"/>
        </w:rPr>
        <w:t>、拟投入本项目的设备一览表</w:t>
      </w:r>
    </w:p>
    <w:p w14:paraId="7A70063A">
      <w:pPr>
        <w:spacing w:line="360" w:lineRule="auto"/>
        <w:jc w:val="center"/>
        <w:rPr>
          <w:rFonts w:hAnsi="宋体" w:cs="Times New Roman"/>
          <w:b/>
          <w:color w:val="auto"/>
          <w:sz w:val="30"/>
          <w:szCs w:val="30"/>
          <w:highlight w:val="none"/>
        </w:rPr>
      </w:pPr>
    </w:p>
    <w:p w14:paraId="69296F0D">
      <w:pPr>
        <w:spacing w:line="360" w:lineRule="auto"/>
        <w:jc w:val="center"/>
        <w:rPr>
          <w:rFonts w:hAnsi="宋体" w:cs="Times New Roman"/>
          <w:b/>
          <w:color w:val="auto"/>
          <w:sz w:val="30"/>
          <w:szCs w:val="30"/>
          <w:highlight w:val="none"/>
        </w:rPr>
      </w:pPr>
      <w:r>
        <w:rPr>
          <w:rFonts w:hint="eastAsia" w:hAnsi="宋体" w:cs="Times New Roman"/>
          <w:b/>
          <w:color w:val="auto"/>
          <w:sz w:val="30"/>
          <w:szCs w:val="30"/>
          <w:highlight w:val="none"/>
        </w:rPr>
        <w:t>拟投入本项目的设备一览表</w:t>
      </w:r>
    </w:p>
    <w:p w14:paraId="44E01B2B">
      <w:pPr>
        <w:spacing w:line="360" w:lineRule="auto"/>
        <w:rPr>
          <w:rFonts w:hAnsi="宋体"/>
          <w:b/>
          <w:color w:val="auto"/>
          <w:sz w:val="24"/>
          <w:szCs w:val="24"/>
          <w:highlight w:val="none"/>
          <w:lang w:val="zh-CN"/>
        </w:rPr>
      </w:pPr>
      <w:r>
        <w:rPr>
          <w:rFonts w:hAnsi="宋体"/>
          <w:color w:val="auto"/>
          <w:sz w:val="24"/>
          <w:szCs w:val="24"/>
          <w:highlight w:val="none"/>
          <w:lang w:val="zh-CN"/>
        </w:rPr>
        <w:t>采购</w:t>
      </w:r>
      <w:r>
        <w:rPr>
          <w:rFonts w:hint="eastAsia" w:hAnsi="宋体"/>
          <w:color w:val="auto"/>
          <w:sz w:val="24"/>
          <w:szCs w:val="24"/>
          <w:highlight w:val="none"/>
          <w:lang w:val="zh-CN"/>
        </w:rPr>
        <w:t>项目名称</w:t>
      </w:r>
      <w:r>
        <w:rPr>
          <w:rFonts w:hAnsi="宋体"/>
          <w:color w:val="auto"/>
          <w:sz w:val="24"/>
          <w:szCs w:val="24"/>
          <w:highlight w:val="none"/>
          <w:lang w:val="zh-CN"/>
        </w:rPr>
        <w:t>：</w:t>
      </w:r>
      <w:r>
        <w:rPr>
          <w:rFonts w:hint="eastAsia" w:hAnsi="宋体"/>
          <w:color w:val="auto"/>
          <w:sz w:val="24"/>
          <w:szCs w:val="24"/>
          <w:highlight w:val="none"/>
          <w:lang w:val="zh-CN"/>
        </w:rPr>
        <w:t>采购项目编号：</w:t>
      </w:r>
    </w:p>
    <w:tbl>
      <w:tblPr>
        <w:tblStyle w:val="42"/>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728"/>
        <w:gridCol w:w="1091"/>
        <w:gridCol w:w="1550"/>
        <w:gridCol w:w="1754"/>
        <w:gridCol w:w="1418"/>
        <w:gridCol w:w="1227"/>
      </w:tblGrid>
      <w:tr w14:paraId="768EB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70F8E2A3">
            <w:pPr>
              <w:jc w:val="center"/>
              <w:rPr>
                <w:rFonts w:hAnsi="宋体"/>
                <w:color w:val="auto"/>
                <w:sz w:val="24"/>
                <w:szCs w:val="24"/>
                <w:highlight w:val="none"/>
              </w:rPr>
            </w:pPr>
            <w:r>
              <w:rPr>
                <w:rFonts w:hint="eastAsia" w:hAnsi="宋体"/>
                <w:color w:val="auto"/>
                <w:sz w:val="24"/>
                <w:szCs w:val="24"/>
                <w:highlight w:val="none"/>
              </w:rPr>
              <w:t>序号</w:t>
            </w:r>
          </w:p>
        </w:tc>
        <w:tc>
          <w:tcPr>
            <w:tcW w:w="1728" w:type="dxa"/>
            <w:vAlign w:val="center"/>
          </w:tcPr>
          <w:p w14:paraId="5FF063C2">
            <w:pPr>
              <w:jc w:val="center"/>
              <w:rPr>
                <w:rFonts w:hAnsi="宋体"/>
                <w:color w:val="auto"/>
                <w:sz w:val="24"/>
                <w:szCs w:val="24"/>
                <w:highlight w:val="none"/>
              </w:rPr>
            </w:pPr>
            <w:r>
              <w:rPr>
                <w:rFonts w:hint="eastAsia" w:hAnsi="宋体"/>
                <w:color w:val="auto"/>
                <w:sz w:val="24"/>
                <w:szCs w:val="24"/>
                <w:highlight w:val="none"/>
              </w:rPr>
              <w:t>名称</w:t>
            </w:r>
          </w:p>
        </w:tc>
        <w:tc>
          <w:tcPr>
            <w:tcW w:w="1091" w:type="dxa"/>
            <w:vAlign w:val="center"/>
          </w:tcPr>
          <w:p w14:paraId="03663BAF">
            <w:pPr>
              <w:jc w:val="center"/>
              <w:rPr>
                <w:rFonts w:hAnsi="宋体"/>
                <w:color w:val="auto"/>
                <w:sz w:val="24"/>
                <w:szCs w:val="24"/>
                <w:highlight w:val="none"/>
              </w:rPr>
            </w:pPr>
            <w:r>
              <w:rPr>
                <w:rFonts w:hint="eastAsia" w:hAnsi="宋体"/>
                <w:color w:val="auto"/>
                <w:sz w:val="24"/>
                <w:szCs w:val="24"/>
                <w:highlight w:val="none"/>
              </w:rPr>
              <w:t>数量</w:t>
            </w:r>
          </w:p>
        </w:tc>
        <w:tc>
          <w:tcPr>
            <w:tcW w:w="1550" w:type="dxa"/>
            <w:vAlign w:val="center"/>
          </w:tcPr>
          <w:p w14:paraId="7EE5B95A">
            <w:pPr>
              <w:jc w:val="center"/>
              <w:rPr>
                <w:rFonts w:hAnsi="宋体"/>
                <w:color w:val="auto"/>
                <w:sz w:val="24"/>
                <w:szCs w:val="24"/>
                <w:highlight w:val="none"/>
              </w:rPr>
            </w:pPr>
            <w:r>
              <w:rPr>
                <w:rFonts w:hint="eastAsia" w:hAnsi="宋体"/>
                <w:color w:val="auto"/>
                <w:sz w:val="24"/>
                <w:szCs w:val="24"/>
                <w:highlight w:val="none"/>
              </w:rPr>
              <w:t>生产厂家</w:t>
            </w:r>
          </w:p>
        </w:tc>
        <w:tc>
          <w:tcPr>
            <w:tcW w:w="1754" w:type="dxa"/>
            <w:vAlign w:val="center"/>
          </w:tcPr>
          <w:p w14:paraId="73727EFA">
            <w:pPr>
              <w:jc w:val="center"/>
              <w:rPr>
                <w:rFonts w:hAnsi="宋体"/>
                <w:color w:val="auto"/>
                <w:sz w:val="24"/>
                <w:szCs w:val="24"/>
                <w:highlight w:val="none"/>
              </w:rPr>
            </w:pPr>
            <w:r>
              <w:rPr>
                <w:rFonts w:hint="eastAsia" w:hAnsi="宋体"/>
                <w:color w:val="auto"/>
                <w:sz w:val="24"/>
                <w:szCs w:val="24"/>
                <w:highlight w:val="none"/>
              </w:rPr>
              <w:t>品牌、规格</w:t>
            </w:r>
          </w:p>
        </w:tc>
        <w:tc>
          <w:tcPr>
            <w:tcW w:w="1418" w:type="dxa"/>
            <w:vAlign w:val="center"/>
          </w:tcPr>
          <w:p w14:paraId="6B419150">
            <w:pPr>
              <w:jc w:val="center"/>
              <w:rPr>
                <w:rFonts w:hAnsi="宋体"/>
                <w:color w:val="auto"/>
                <w:sz w:val="24"/>
                <w:szCs w:val="24"/>
                <w:highlight w:val="none"/>
              </w:rPr>
            </w:pPr>
            <w:r>
              <w:rPr>
                <w:rFonts w:hint="eastAsia" w:hAnsi="宋体"/>
                <w:color w:val="auto"/>
                <w:kern w:val="2"/>
                <w:sz w:val="24"/>
                <w:szCs w:val="24"/>
                <w:highlight w:val="none"/>
              </w:rPr>
              <w:t>租赁/自有</w:t>
            </w:r>
          </w:p>
        </w:tc>
        <w:tc>
          <w:tcPr>
            <w:tcW w:w="1227" w:type="dxa"/>
            <w:vAlign w:val="center"/>
          </w:tcPr>
          <w:p w14:paraId="2BFCEBE6">
            <w:pPr>
              <w:jc w:val="center"/>
              <w:rPr>
                <w:rFonts w:hAnsi="宋体"/>
                <w:color w:val="auto"/>
                <w:sz w:val="24"/>
                <w:szCs w:val="24"/>
                <w:highlight w:val="none"/>
              </w:rPr>
            </w:pPr>
            <w:r>
              <w:rPr>
                <w:rFonts w:hint="eastAsia" w:hAnsi="宋体"/>
                <w:color w:val="auto"/>
                <w:sz w:val="24"/>
                <w:szCs w:val="24"/>
                <w:highlight w:val="none"/>
              </w:rPr>
              <w:t>用途</w:t>
            </w:r>
          </w:p>
        </w:tc>
      </w:tr>
      <w:tr w14:paraId="11718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37DE919C">
            <w:pPr>
              <w:jc w:val="center"/>
              <w:rPr>
                <w:rFonts w:hAnsi="宋体"/>
                <w:color w:val="auto"/>
                <w:sz w:val="24"/>
                <w:szCs w:val="24"/>
                <w:highlight w:val="none"/>
              </w:rPr>
            </w:pPr>
            <w:r>
              <w:rPr>
                <w:rFonts w:hint="eastAsia" w:hAnsi="宋体"/>
                <w:color w:val="auto"/>
                <w:sz w:val="24"/>
                <w:szCs w:val="24"/>
                <w:highlight w:val="none"/>
              </w:rPr>
              <w:t>1</w:t>
            </w:r>
          </w:p>
        </w:tc>
        <w:tc>
          <w:tcPr>
            <w:tcW w:w="1728" w:type="dxa"/>
            <w:vAlign w:val="center"/>
          </w:tcPr>
          <w:p w14:paraId="24507BB0">
            <w:pPr>
              <w:jc w:val="center"/>
              <w:rPr>
                <w:rFonts w:hAnsi="宋体"/>
                <w:color w:val="auto"/>
                <w:sz w:val="24"/>
                <w:szCs w:val="24"/>
                <w:highlight w:val="none"/>
              </w:rPr>
            </w:pPr>
          </w:p>
        </w:tc>
        <w:tc>
          <w:tcPr>
            <w:tcW w:w="1091" w:type="dxa"/>
            <w:vAlign w:val="center"/>
          </w:tcPr>
          <w:p w14:paraId="06FDBF2D">
            <w:pPr>
              <w:jc w:val="center"/>
              <w:rPr>
                <w:rFonts w:hAnsi="宋体"/>
                <w:color w:val="auto"/>
                <w:sz w:val="24"/>
                <w:szCs w:val="24"/>
                <w:highlight w:val="none"/>
              </w:rPr>
            </w:pPr>
          </w:p>
        </w:tc>
        <w:tc>
          <w:tcPr>
            <w:tcW w:w="1550" w:type="dxa"/>
            <w:vAlign w:val="center"/>
          </w:tcPr>
          <w:p w14:paraId="0101220F">
            <w:pPr>
              <w:jc w:val="center"/>
              <w:rPr>
                <w:rFonts w:hAnsi="宋体"/>
                <w:color w:val="auto"/>
                <w:sz w:val="24"/>
                <w:szCs w:val="24"/>
                <w:highlight w:val="none"/>
              </w:rPr>
            </w:pPr>
          </w:p>
        </w:tc>
        <w:tc>
          <w:tcPr>
            <w:tcW w:w="1754" w:type="dxa"/>
            <w:vAlign w:val="center"/>
          </w:tcPr>
          <w:p w14:paraId="1F1BEE32">
            <w:pPr>
              <w:jc w:val="center"/>
              <w:rPr>
                <w:rFonts w:hAnsi="宋体"/>
                <w:color w:val="auto"/>
                <w:sz w:val="24"/>
                <w:szCs w:val="24"/>
                <w:highlight w:val="none"/>
              </w:rPr>
            </w:pPr>
          </w:p>
        </w:tc>
        <w:tc>
          <w:tcPr>
            <w:tcW w:w="1418" w:type="dxa"/>
            <w:vAlign w:val="center"/>
          </w:tcPr>
          <w:p w14:paraId="1529EFEF">
            <w:pPr>
              <w:jc w:val="center"/>
              <w:rPr>
                <w:rFonts w:hAnsi="宋体"/>
                <w:color w:val="auto"/>
                <w:sz w:val="24"/>
                <w:szCs w:val="24"/>
                <w:highlight w:val="none"/>
              </w:rPr>
            </w:pPr>
          </w:p>
        </w:tc>
        <w:tc>
          <w:tcPr>
            <w:tcW w:w="1227" w:type="dxa"/>
            <w:vAlign w:val="center"/>
          </w:tcPr>
          <w:p w14:paraId="1B4BC1CE">
            <w:pPr>
              <w:jc w:val="center"/>
              <w:rPr>
                <w:rFonts w:hAnsi="宋体"/>
                <w:color w:val="auto"/>
                <w:sz w:val="24"/>
                <w:szCs w:val="24"/>
                <w:highlight w:val="none"/>
              </w:rPr>
            </w:pPr>
          </w:p>
        </w:tc>
      </w:tr>
      <w:tr w14:paraId="7C633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5CF9403D">
            <w:pPr>
              <w:jc w:val="center"/>
              <w:rPr>
                <w:rFonts w:hAnsi="宋体"/>
                <w:color w:val="auto"/>
                <w:sz w:val="24"/>
                <w:szCs w:val="24"/>
                <w:highlight w:val="none"/>
              </w:rPr>
            </w:pPr>
            <w:r>
              <w:rPr>
                <w:rFonts w:hint="eastAsia" w:hAnsi="宋体"/>
                <w:color w:val="auto"/>
                <w:sz w:val="24"/>
                <w:szCs w:val="24"/>
                <w:highlight w:val="none"/>
              </w:rPr>
              <w:t>2</w:t>
            </w:r>
          </w:p>
        </w:tc>
        <w:tc>
          <w:tcPr>
            <w:tcW w:w="1728" w:type="dxa"/>
            <w:vAlign w:val="center"/>
          </w:tcPr>
          <w:p w14:paraId="6DD5A5FF">
            <w:pPr>
              <w:jc w:val="center"/>
              <w:rPr>
                <w:rFonts w:hAnsi="宋体"/>
                <w:color w:val="auto"/>
                <w:sz w:val="24"/>
                <w:szCs w:val="24"/>
                <w:highlight w:val="none"/>
              </w:rPr>
            </w:pPr>
          </w:p>
        </w:tc>
        <w:tc>
          <w:tcPr>
            <w:tcW w:w="1091" w:type="dxa"/>
            <w:vAlign w:val="center"/>
          </w:tcPr>
          <w:p w14:paraId="16936275">
            <w:pPr>
              <w:jc w:val="center"/>
              <w:rPr>
                <w:rFonts w:hAnsi="宋体"/>
                <w:color w:val="auto"/>
                <w:sz w:val="24"/>
                <w:szCs w:val="24"/>
                <w:highlight w:val="none"/>
              </w:rPr>
            </w:pPr>
          </w:p>
        </w:tc>
        <w:tc>
          <w:tcPr>
            <w:tcW w:w="1550" w:type="dxa"/>
            <w:vAlign w:val="center"/>
          </w:tcPr>
          <w:p w14:paraId="18AC2906">
            <w:pPr>
              <w:jc w:val="center"/>
              <w:rPr>
                <w:rFonts w:hAnsi="宋体"/>
                <w:color w:val="auto"/>
                <w:sz w:val="24"/>
                <w:szCs w:val="24"/>
                <w:highlight w:val="none"/>
              </w:rPr>
            </w:pPr>
          </w:p>
        </w:tc>
        <w:tc>
          <w:tcPr>
            <w:tcW w:w="1754" w:type="dxa"/>
            <w:vAlign w:val="center"/>
          </w:tcPr>
          <w:p w14:paraId="1FCF3E3D">
            <w:pPr>
              <w:jc w:val="center"/>
              <w:rPr>
                <w:rFonts w:hAnsi="宋体"/>
                <w:color w:val="auto"/>
                <w:sz w:val="24"/>
                <w:szCs w:val="24"/>
                <w:highlight w:val="none"/>
              </w:rPr>
            </w:pPr>
          </w:p>
        </w:tc>
        <w:tc>
          <w:tcPr>
            <w:tcW w:w="1418" w:type="dxa"/>
            <w:vAlign w:val="center"/>
          </w:tcPr>
          <w:p w14:paraId="2A87B05C">
            <w:pPr>
              <w:jc w:val="center"/>
              <w:rPr>
                <w:rFonts w:hAnsi="宋体"/>
                <w:color w:val="auto"/>
                <w:sz w:val="24"/>
                <w:szCs w:val="24"/>
                <w:highlight w:val="none"/>
              </w:rPr>
            </w:pPr>
          </w:p>
        </w:tc>
        <w:tc>
          <w:tcPr>
            <w:tcW w:w="1227" w:type="dxa"/>
            <w:vAlign w:val="center"/>
          </w:tcPr>
          <w:p w14:paraId="31108AA1">
            <w:pPr>
              <w:jc w:val="center"/>
              <w:rPr>
                <w:rFonts w:hAnsi="宋体"/>
                <w:color w:val="auto"/>
                <w:sz w:val="24"/>
                <w:szCs w:val="24"/>
                <w:highlight w:val="none"/>
              </w:rPr>
            </w:pPr>
          </w:p>
        </w:tc>
      </w:tr>
      <w:tr w14:paraId="03DF7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6E251454">
            <w:pPr>
              <w:jc w:val="center"/>
              <w:rPr>
                <w:rFonts w:hAnsi="宋体"/>
                <w:color w:val="auto"/>
                <w:sz w:val="24"/>
                <w:szCs w:val="24"/>
                <w:highlight w:val="none"/>
              </w:rPr>
            </w:pPr>
            <w:r>
              <w:rPr>
                <w:rFonts w:hint="eastAsia" w:hAnsi="宋体"/>
                <w:color w:val="auto"/>
                <w:sz w:val="24"/>
                <w:szCs w:val="24"/>
                <w:highlight w:val="none"/>
              </w:rPr>
              <w:t>3</w:t>
            </w:r>
          </w:p>
        </w:tc>
        <w:tc>
          <w:tcPr>
            <w:tcW w:w="1728" w:type="dxa"/>
            <w:vAlign w:val="center"/>
          </w:tcPr>
          <w:p w14:paraId="4B0BE9DB">
            <w:pPr>
              <w:jc w:val="center"/>
              <w:rPr>
                <w:rFonts w:hAnsi="宋体"/>
                <w:color w:val="auto"/>
                <w:sz w:val="24"/>
                <w:szCs w:val="24"/>
                <w:highlight w:val="none"/>
              </w:rPr>
            </w:pPr>
          </w:p>
        </w:tc>
        <w:tc>
          <w:tcPr>
            <w:tcW w:w="1091" w:type="dxa"/>
            <w:vAlign w:val="center"/>
          </w:tcPr>
          <w:p w14:paraId="52F33410">
            <w:pPr>
              <w:jc w:val="center"/>
              <w:rPr>
                <w:rFonts w:hAnsi="宋体"/>
                <w:color w:val="auto"/>
                <w:sz w:val="24"/>
                <w:szCs w:val="24"/>
                <w:highlight w:val="none"/>
              </w:rPr>
            </w:pPr>
          </w:p>
        </w:tc>
        <w:tc>
          <w:tcPr>
            <w:tcW w:w="1550" w:type="dxa"/>
            <w:vAlign w:val="center"/>
          </w:tcPr>
          <w:p w14:paraId="4C23A8B6">
            <w:pPr>
              <w:jc w:val="center"/>
              <w:rPr>
                <w:rFonts w:hAnsi="宋体"/>
                <w:color w:val="auto"/>
                <w:sz w:val="24"/>
                <w:szCs w:val="24"/>
                <w:highlight w:val="none"/>
              </w:rPr>
            </w:pPr>
          </w:p>
        </w:tc>
        <w:tc>
          <w:tcPr>
            <w:tcW w:w="1754" w:type="dxa"/>
            <w:vAlign w:val="center"/>
          </w:tcPr>
          <w:p w14:paraId="0ADF902A">
            <w:pPr>
              <w:jc w:val="center"/>
              <w:rPr>
                <w:rFonts w:hAnsi="宋体"/>
                <w:color w:val="auto"/>
                <w:sz w:val="24"/>
                <w:szCs w:val="24"/>
                <w:highlight w:val="none"/>
              </w:rPr>
            </w:pPr>
          </w:p>
        </w:tc>
        <w:tc>
          <w:tcPr>
            <w:tcW w:w="1418" w:type="dxa"/>
            <w:vAlign w:val="center"/>
          </w:tcPr>
          <w:p w14:paraId="43BEE52D">
            <w:pPr>
              <w:jc w:val="center"/>
              <w:rPr>
                <w:rFonts w:hAnsi="宋体"/>
                <w:color w:val="auto"/>
                <w:sz w:val="24"/>
                <w:szCs w:val="24"/>
                <w:highlight w:val="none"/>
              </w:rPr>
            </w:pPr>
          </w:p>
        </w:tc>
        <w:tc>
          <w:tcPr>
            <w:tcW w:w="1227" w:type="dxa"/>
            <w:vAlign w:val="center"/>
          </w:tcPr>
          <w:p w14:paraId="001BBC16">
            <w:pPr>
              <w:jc w:val="center"/>
              <w:rPr>
                <w:rFonts w:hAnsi="宋体"/>
                <w:color w:val="auto"/>
                <w:sz w:val="24"/>
                <w:szCs w:val="24"/>
                <w:highlight w:val="none"/>
              </w:rPr>
            </w:pPr>
          </w:p>
        </w:tc>
      </w:tr>
      <w:tr w14:paraId="664E3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36514A75">
            <w:pPr>
              <w:jc w:val="center"/>
              <w:rPr>
                <w:rFonts w:hAnsi="宋体"/>
                <w:color w:val="auto"/>
                <w:sz w:val="24"/>
                <w:szCs w:val="24"/>
                <w:highlight w:val="none"/>
              </w:rPr>
            </w:pPr>
            <w:r>
              <w:rPr>
                <w:rFonts w:hint="eastAsia" w:hAnsi="宋体"/>
                <w:color w:val="auto"/>
                <w:sz w:val="24"/>
                <w:szCs w:val="24"/>
                <w:highlight w:val="none"/>
              </w:rPr>
              <w:t>4</w:t>
            </w:r>
          </w:p>
        </w:tc>
        <w:tc>
          <w:tcPr>
            <w:tcW w:w="1728" w:type="dxa"/>
            <w:vAlign w:val="center"/>
          </w:tcPr>
          <w:p w14:paraId="4DDECE3B">
            <w:pPr>
              <w:jc w:val="center"/>
              <w:rPr>
                <w:rFonts w:hAnsi="宋体"/>
                <w:color w:val="auto"/>
                <w:sz w:val="24"/>
                <w:szCs w:val="24"/>
                <w:highlight w:val="none"/>
              </w:rPr>
            </w:pPr>
          </w:p>
        </w:tc>
        <w:tc>
          <w:tcPr>
            <w:tcW w:w="1091" w:type="dxa"/>
            <w:vAlign w:val="center"/>
          </w:tcPr>
          <w:p w14:paraId="73E6A3D5">
            <w:pPr>
              <w:jc w:val="center"/>
              <w:rPr>
                <w:rFonts w:hAnsi="宋体"/>
                <w:color w:val="auto"/>
                <w:sz w:val="24"/>
                <w:szCs w:val="24"/>
                <w:highlight w:val="none"/>
              </w:rPr>
            </w:pPr>
          </w:p>
        </w:tc>
        <w:tc>
          <w:tcPr>
            <w:tcW w:w="1550" w:type="dxa"/>
            <w:vAlign w:val="center"/>
          </w:tcPr>
          <w:p w14:paraId="2A440E36">
            <w:pPr>
              <w:jc w:val="center"/>
              <w:rPr>
                <w:rFonts w:hAnsi="宋体"/>
                <w:color w:val="auto"/>
                <w:sz w:val="24"/>
                <w:szCs w:val="24"/>
                <w:highlight w:val="none"/>
              </w:rPr>
            </w:pPr>
          </w:p>
        </w:tc>
        <w:tc>
          <w:tcPr>
            <w:tcW w:w="1754" w:type="dxa"/>
            <w:vAlign w:val="center"/>
          </w:tcPr>
          <w:p w14:paraId="490D0673">
            <w:pPr>
              <w:jc w:val="center"/>
              <w:rPr>
                <w:rFonts w:hAnsi="宋体"/>
                <w:color w:val="auto"/>
                <w:sz w:val="24"/>
                <w:szCs w:val="24"/>
                <w:highlight w:val="none"/>
              </w:rPr>
            </w:pPr>
          </w:p>
        </w:tc>
        <w:tc>
          <w:tcPr>
            <w:tcW w:w="1418" w:type="dxa"/>
            <w:vAlign w:val="center"/>
          </w:tcPr>
          <w:p w14:paraId="7224415D">
            <w:pPr>
              <w:jc w:val="center"/>
              <w:rPr>
                <w:rFonts w:hAnsi="宋体"/>
                <w:color w:val="auto"/>
                <w:sz w:val="24"/>
                <w:szCs w:val="24"/>
                <w:highlight w:val="none"/>
              </w:rPr>
            </w:pPr>
          </w:p>
        </w:tc>
        <w:tc>
          <w:tcPr>
            <w:tcW w:w="1227" w:type="dxa"/>
            <w:vAlign w:val="center"/>
          </w:tcPr>
          <w:p w14:paraId="5289F4BD">
            <w:pPr>
              <w:jc w:val="center"/>
              <w:rPr>
                <w:rFonts w:hAnsi="宋体"/>
                <w:color w:val="auto"/>
                <w:sz w:val="24"/>
                <w:szCs w:val="24"/>
                <w:highlight w:val="none"/>
              </w:rPr>
            </w:pPr>
          </w:p>
        </w:tc>
      </w:tr>
      <w:tr w14:paraId="1A23D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643E36CC">
            <w:pPr>
              <w:jc w:val="center"/>
              <w:rPr>
                <w:rFonts w:hAnsi="宋体"/>
                <w:color w:val="auto"/>
                <w:sz w:val="24"/>
                <w:szCs w:val="24"/>
                <w:highlight w:val="none"/>
              </w:rPr>
            </w:pPr>
            <w:r>
              <w:rPr>
                <w:rFonts w:hint="eastAsia" w:hAnsi="宋体"/>
                <w:color w:val="auto"/>
                <w:sz w:val="24"/>
                <w:szCs w:val="24"/>
                <w:highlight w:val="none"/>
              </w:rPr>
              <w:t>5</w:t>
            </w:r>
          </w:p>
        </w:tc>
        <w:tc>
          <w:tcPr>
            <w:tcW w:w="1728" w:type="dxa"/>
            <w:vAlign w:val="center"/>
          </w:tcPr>
          <w:p w14:paraId="36872B2B">
            <w:pPr>
              <w:jc w:val="center"/>
              <w:rPr>
                <w:rFonts w:hAnsi="宋体"/>
                <w:color w:val="auto"/>
                <w:sz w:val="24"/>
                <w:szCs w:val="24"/>
                <w:highlight w:val="none"/>
              </w:rPr>
            </w:pPr>
          </w:p>
        </w:tc>
        <w:tc>
          <w:tcPr>
            <w:tcW w:w="1091" w:type="dxa"/>
            <w:vAlign w:val="center"/>
          </w:tcPr>
          <w:p w14:paraId="1F4CCD57">
            <w:pPr>
              <w:jc w:val="center"/>
              <w:rPr>
                <w:rFonts w:hAnsi="宋体"/>
                <w:color w:val="auto"/>
                <w:sz w:val="24"/>
                <w:szCs w:val="24"/>
                <w:highlight w:val="none"/>
              </w:rPr>
            </w:pPr>
          </w:p>
        </w:tc>
        <w:tc>
          <w:tcPr>
            <w:tcW w:w="1550" w:type="dxa"/>
            <w:vAlign w:val="center"/>
          </w:tcPr>
          <w:p w14:paraId="489F2C7C">
            <w:pPr>
              <w:jc w:val="center"/>
              <w:rPr>
                <w:rFonts w:hAnsi="宋体"/>
                <w:color w:val="auto"/>
                <w:sz w:val="24"/>
                <w:szCs w:val="24"/>
                <w:highlight w:val="none"/>
              </w:rPr>
            </w:pPr>
          </w:p>
        </w:tc>
        <w:tc>
          <w:tcPr>
            <w:tcW w:w="1754" w:type="dxa"/>
            <w:vAlign w:val="center"/>
          </w:tcPr>
          <w:p w14:paraId="26533E98">
            <w:pPr>
              <w:jc w:val="center"/>
              <w:rPr>
                <w:rFonts w:hAnsi="宋体"/>
                <w:color w:val="auto"/>
                <w:sz w:val="24"/>
                <w:szCs w:val="24"/>
                <w:highlight w:val="none"/>
              </w:rPr>
            </w:pPr>
          </w:p>
        </w:tc>
        <w:tc>
          <w:tcPr>
            <w:tcW w:w="1418" w:type="dxa"/>
            <w:vAlign w:val="center"/>
          </w:tcPr>
          <w:p w14:paraId="22FF3E85">
            <w:pPr>
              <w:jc w:val="center"/>
              <w:rPr>
                <w:rFonts w:hAnsi="宋体"/>
                <w:color w:val="auto"/>
                <w:sz w:val="24"/>
                <w:szCs w:val="24"/>
                <w:highlight w:val="none"/>
              </w:rPr>
            </w:pPr>
          </w:p>
        </w:tc>
        <w:tc>
          <w:tcPr>
            <w:tcW w:w="1227" w:type="dxa"/>
            <w:vAlign w:val="center"/>
          </w:tcPr>
          <w:p w14:paraId="0C8E4B4C">
            <w:pPr>
              <w:jc w:val="center"/>
              <w:rPr>
                <w:rFonts w:hAnsi="宋体"/>
                <w:color w:val="auto"/>
                <w:sz w:val="24"/>
                <w:szCs w:val="24"/>
                <w:highlight w:val="none"/>
              </w:rPr>
            </w:pPr>
          </w:p>
        </w:tc>
      </w:tr>
      <w:tr w14:paraId="11998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74A31094">
            <w:pPr>
              <w:jc w:val="center"/>
              <w:rPr>
                <w:rFonts w:hAnsi="宋体"/>
                <w:color w:val="auto"/>
                <w:sz w:val="24"/>
                <w:szCs w:val="24"/>
                <w:highlight w:val="none"/>
              </w:rPr>
            </w:pPr>
            <w:r>
              <w:rPr>
                <w:rFonts w:hint="eastAsia" w:hAnsi="宋体"/>
                <w:color w:val="auto"/>
                <w:sz w:val="24"/>
                <w:szCs w:val="24"/>
                <w:highlight w:val="none"/>
              </w:rPr>
              <w:t>6</w:t>
            </w:r>
          </w:p>
        </w:tc>
        <w:tc>
          <w:tcPr>
            <w:tcW w:w="1728" w:type="dxa"/>
            <w:vAlign w:val="center"/>
          </w:tcPr>
          <w:p w14:paraId="06EA1690">
            <w:pPr>
              <w:jc w:val="center"/>
              <w:rPr>
                <w:rFonts w:hAnsi="宋体"/>
                <w:color w:val="auto"/>
                <w:sz w:val="24"/>
                <w:szCs w:val="24"/>
                <w:highlight w:val="none"/>
              </w:rPr>
            </w:pPr>
          </w:p>
        </w:tc>
        <w:tc>
          <w:tcPr>
            <w:tcW w:w="1091" w:type="dxa"/>
            <w:vAlign w:val="center"/>
          </w:tcPr>
          <w:p w14:paraId="17FBA910">
            <w:pPr>
              <w:jc w:val="center"/>
              <w:rPr>
                <w:rFonts w:hAnsi="宋体"/>
                <w:color w:val="auto"/>
                <w:sz w:val="24"/>
                <w:szCs w:val="24"/>
                <w:highlight w:val="none"/>
              </w:rPr>
            </w:pPr>
          </w:p>
        </w:tc>
        <w:tc>
          <w:tcPr>
            <w:tcW w:w="1550" w:type="dxa"/>
            <w:vAlign w:val="center"/>
          </w:tcPr>
          <w:p w14:paraId="2232FE6A">
            <w:pPr>
              <w:jc w:val="center"/>
              <w:rPr>
                <w:rFonts w:hAnsi="宋体"/>
                <w:color w:val="auto"/>
                <w:sz w:val="24"/>
                <w:szCs w:val="24"/>
                <w:highlight w:val="none"/>
              </w:rPr>
            </w:pPr>
          </w:p>
        </w:tc>
        <w:tc>
          <w:tcPr>
            <w:tcW w:w="1754" w:type="dxa"/>
            <w:vAlign w:val="center"/>
          </w:tcPr>
          <w:p w14:paraId="43037F60">
            <w:pPr>
              <w:jc w:val="center"/>
              <w:rPr>
                <w:rFonts w:hAnsi="宋体"/>
                <w:color w:val="auto"/>
                <w:sz w:val="24"/>
                <w:szCs w:val="24"/>
                <w:highlight w:val="none"/>
              </w:rPr>
            </w:pPr>
          </w:p>
        </w:tc>
        <w:tc>
          <w:tcPr>
            <w:tcW w:w="1418" w:type="dxa"/>
            <w:vAlign w:val="center"/>
          </w:tcPr>
          <w:p w14:paraId="7A114406">
            <w:pPr>
              <w:jc w:val="center"/>
              <w:rPr>
                <w:rFonts w:hAnsi="宋体"/>
                <w:color w:val="auto"/>
                <w:sz w:val="24"/>
                <w:szCs w:val="24"/>
                <w:highlight w:val="none"/>
              </w:rPr>
            </w:pPr>
          </w:p>
        </w:tc>
        <w:tc>
          <w:tcPr>
            <w:tcW w:w="1227" w:type="dxa"/>
            <w:vAlign w:val="center"/>
          </w:tcPr>
          <w:p w14:paraId="704D8354">
            <w:pPr>
              <w:jc w:val="center"/>
              <w:rPr>
                <w:rFonts w:hAnsi="宋体"/>
                <w:color w:val="auto"/>
                <w:sz w:val="24"/>
                <w:szCs w:val="24"/>
                <w:highlight w:val="none"/>
              </w:rPr>
            </w:pPr>
          </w:p>
        </w:tc>
      </w:tr>
      <w:tr w14:paraId="0DA4A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530E4FB6">
            <w:pPr>
              <w:jc w:val="center"/>
              <w:rPr>
                <w:rFonts w:hAnsi="宋体"/>
                <w:color w:val="auto"/>
                <w:sz w:val="24"/>
                <w:szCs w:val="24"/>
                <w:highlight w:val="none"/>
              </w:rPr>
            </w:pPr>
            <w:r>
              <w:rPr>
                <w:rFonts w:hint="eastAsia" w:hAnsi="宋体"/>
                <w:color w:val="auto"/>
                <w:sz w:val="24"/>
                <w:szCs w:val="24"/>
                <w:highlight w:val="none"/>
              </w:rPr>
              <w:t>7</w:t>
            </w:r>
          </w:p>
        </w:tc>
        <w:tc>
          <w:tcPr>
            <w:tcW w:w="1728" w:type="dxa"/>
            <w:vAlign w:val="center"/>
          </w:tcPr>
          <w:p w14:paraId="1FF1579A">
            <w:pPr>
              <w:jc w:val="center"/>
              <w:rPr>
                <w:rFonts w:hAnsi="宋体"/>
                <w:color w:val="auto"/>
                <w:sz w:val="24"/>
                <w:szCs w:val="24"/>
                <w:highlight w:val="none"/>
              </w:rPr>
            </w:pPr>
          </w:p>
        </w:tc>
        <w:tc>
          <w:tcPr>
            <w:tcW w:w="1091" w:type="dxa"/>
            <w:vAlign w:val="center"/>
          </w:tcPr>
          <w:p w14:paraId="272A3166">
            <w:pPr>
              <w:jc w:val="center"/>
              <w:rPr>
                <w:rFonts w:hAnsi="宋体"/>
                <w:color w:val="auto"/>
                <w:sz w:val="24"/>
                <w:szCs w:val="24"/>
                <w:highlight w:val="none"/>
              </w:rPr>
            </w:pPr>
          </w:p>
        </w:tc>
        <w:tc>
          <w:tcPr>
            <w:tcW w:w="1550" w:type="dxa"/>
            <w:vAlign w:val="center"/>
          </w:tcPr>
          <w:p w14:paraId="0FE165A5">
            <w:pPr>
              <w:jc w:val="center"/>
              <w:rPr>
                <w:rFonts w:hAnsi="宋体"/>
                <w:color w:val="auto"/>
                <w:sz w:val="24"/>
                <w:szCs w:val="24"/>
                <w:highlight w:val="none"/>
              </w:rPr>
            </w:pPr>
          </w:p>
        </w:tc>
        <w:tc>
          <w:tcPr>
            <w:tcW w:w="1754" w:type="dxa"/>
            <w:vAlign w:val="center"/>
          </w:tcPr>
          <w:p w14:paraId="4EF8C614">
            <w:pPr>
              <w:jc w:val="center"/>
              <w:rPr>
                <w:rFonts w:hAnsi="宋体"/>
                <w:color w:val="auto"/>
                <w:sz w:val="24"/>
                <w:szCs w:val="24"/>
                <w:highlight w:val="none"/>
              </w:rPr>
            </w:pPr>
          </w:p>
        </w:tc>
        <w:tc>
          <w:tcPr>
            <w:tcW w:w="1418" w:type="dxa"/>
            <w:vAlign w:val="center"/>
          </w:tcPr>
          <w:p w14:paraId="2BEC42F7">
            <w:pPr>
              <w:jc w:val="center"/>
              <w:rPr>
                <w:rFonts w:hAnsi="宋体"/>
                <w:color w:val="auto"/>
                <w:sz w:val="24"/>
                <w:szCs w:val="24"/>
                <w:highlight w:val="none"/>
              </w:rPr>
            </w:pPr>
          </w:p>
        </w:tc>
        <w:tc>
          <w:tcPr>
            <w:tcW w:w="1227" w:type="dxa"/>
            <w:vAlign w:val="center"/>
          </w:tcPr>
          <w:p w14:paraId="2212A66C">
            <w:pPr>
              <w:jc w:val="center"/>
              <w:rPr>
                <w:rFonts w:hAnsi="宋体"/>
                <w:color w:val="auto"/>
                <w:sz w:val="24"/>
                <w:szCs w:val="24"/>
                <w:highlight w:val="none"/>
              </w:rPr>
            </w:pPr>
          </w:p>
        </w:tc>
      </w:tr>
      <w:tr w14:paraId="2BCF5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7A03E151">
            <w:pPr>
              <w:jc w:val="center"/>
              <w:rPr>
                <w:rFonts w:hAnsi="宋体"/>
                <w:color w:val="auto"/>
                <w:sz w:val="24"/>
                <w:szCs w:val="24"/>
                <w:highlight w:val="none"/>
              </w:rPr>
            </w:pPr>
            <w:r>
              <w:rPr>
                <w:rFonts w:hint="eastAsia" w:hAnsi="宋体"/>
                <w:color w:val="auto"/>
                <w:sz w:val="24"/>
                <w:szCs w:val="24"/>
                <w:highlight w:val="none"/>
              </w:rPr>
              <w:t>8</w:t>
            </w:r>
          </w:p>
        </w:tc>
        <w:tc>
          <w:tcPr>
            <w:tcW w:w="1728" w:type="dxa"/>
            <w:vAlign w:val="center"/>
          </w:tcPr>
          <w:p w14:paraId="2D6D35C0">
            <w:pPr>
              <w:jc w:val="center"/>
              <w:rPr>
                <w:rFonts w:hAnsi="宋体"/>
                <w:color w:val="auto"/>
                <w:sz w:val="24"/>
                <w:szCs w:val="24"/>
                <w:highlight w:val="none"/>
              </w:rPr>
            </w:pPr>
          </w:p>
        </w:tc>
        <w:tc>
          <w:tcPr>
            <w:tcW w:w="1091" w:type="dxa"/>
            <w:vAlign w:val="center"/>
          </w:tcPr>
          <w:p w14:paraId="2AB5695B">
            <w:pPr>
              <w:jc w:val="center"/>
              <w:rPr>
                <w:rFonts w:hAnsi="宋体"/>
                <w:color w:val="auto"/>
                <w:sz w:val="24"/>
                <w:szCs w:val="24"/>
                <w:highlight w:val="none"/>
              </w:rPr>
            </w:pPr>
          </w:p>
        </w:tc>
        <w:tc>
          <w:tcPr>
            <w:tcW w:w="1550" w:type="dxa"/>
            <w:vAlign w:val="center"/>
          </w:tcPr>
          <w:p w14:paraId="0E342AC9">
            <w:pPr>
              <w:jc w:val="center"/>
              <w:rPr>
                <w:rFonts w:hAnsi="宋体"/>
                <w:color w:val="auto"/>
                <w:sz w:val="24"/>
                <w:szCs w:val="24"/>
                <w:highlight w:val="none"/>
              </w:rPr>
            </w:pPr>
          </w:p>
        </w:tc>
        <w:tc>
          <w:tcPr>
            <w:tcW w:w="1754" w:type="dxa"/>
            <w:vAlign w:val="center"/>
          </w:tcPr>
          <w:p w14:paraId="66382C0A">
            <w:pPr>
              <w:jc w:val="center"/>
              <w:rPr>
                <w:rFonts w:hAnsi="宋体"/>
                <w:color w:val="auto"/>
                <w:sz w:val="24"/>
                <w:szCs w:val="24"/>
                <w:highlight w:val="none"/>
              </w:rPr>
            </w:pPr>
          </w:p>
        </w:tc>
        <w:tc>
          <w:tcPr>
            <w:tcW w:w="1418" w:type="dxa"/>
            <w:vAlign w:val="center"/>
          </w:tcPr>
          <w:p w14:paraId="46B0587B">
            <w:pPr>
              <w:jc w:val="center"/>
              <w:rPr>
                <w:rFonts w:hAnsi="宋体"/>
                <w:color w:val="auto"/>
                <w:sz w:val="24"/>
                <w:szCs w:val="24"/>
                <w:highlight w:val="none"/>
              </w:rPr>
            </w:pPr>
          </w:p>
        </w:tc>
        <w:tc>
          <w:tcPr>
            <w:tcW w:w="1227" w:type="dxa"/>
            <w:vAlign w:val="center"/>
          </w:tcPr>
          <w:p w14:paraId="2C452B21">
            <w:pPr>
              <w:jc w:val="center"/>
              <w:rPr>
                <w:rFonts w:hAnsi="宋体"/>
                <w:color w:val="auto"/>
                <w:sz w:val="24"/>
                <w:szCs w:val="24"/>
                <w:highlight w:val="none"/>
              </w:rPr>
            </w:pPr>
          </w:p>
        </w:tc>
      </w:tr>
      <w:tr w14:paraId="054A0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6CF90018">
            <w:pPr>
              <w:jc w:val="center"/>
              <w:rPr>
                <w:rFonts w:hAnsi="宋体"/>
                <w:color w:val="auto"/>
                <w:sz w:val="24"/>
                <w:szCs w:val="24"/>
                <w:highlight w:val="none"/>
              </w:rPr>
            </w:pPr>
            <w:r>
              <w:rPr>
                <w:rFonts w:hint="eastAsia" w:hAnsi="宋体"/>
                <w:color w:val="auto"/>
                <w:sz w:val="24"/>
                <w:szCs w:val="24"/>
                <w:highlight w:val="none"/>
              </w:rPr>
              <w:t>9</w:t>
            </w:r>
          </w:p>
        </w:tc>
        <w:tc>
          <w:tcPr>
            <w:tcW w:w="1728" w:type="dxa"/>
            <w:vAlign w:val="center"/>
          </w:tcPr>
          <w:p w14:paraId="622931F0">
            <w:pPr>
              <w:jc w:val="center"/>
              <w:rPr>
                <w:rFonts w:hAnsi="宋体"/>
                <w:color w:val="auto"/>
                <w:sz w:val="24"/>
                <w:szCs w:val="24"/>
                <w:highlight w:val="none"/>
              </w:rPr>
            </w:pPr>
          </w:p>
        </w:tc>
        <w:tc>
          <w:tcPr>
            <w:tcW w:w="1091" w:type="dxa"/>
            <w:vAlign w:val="center"/>
          </w:tcPr>
          <w:p w14:paraId="5A52A393">
            <w:pPr>
              <w:jc w:val="center"/>
              <w:rPr>
                <w:rFonts w:hAnsi="宋体"/>
                <w:color w:val="auto"/>
                <w:sz w:val="24"/>
                <w:szCs w:val="24"/>
                <w:highlight w:val="none"/>
              </w:rPr>
            </w:pPr>
          </w:p>
        </w:tc>
        <w:tc>
          <w:tcPr>
            <w:tcW w:w="1550" w:type="dxa"/>
            <w:vAlign w:val="center"/>
          </w:tcPr>
          <w:p w14:paraId="6AFFC6AC">
            <w:pPr>
              <w:jc w:val="center"/>
              <w:rPr>
                <w:rFonts w:hAnsi="宋体"/>
                <w:color w:val="auto"/>
                <w:sz w:val="24"/>
                <w:szCs w:val="24"/>
                <w:highlight w:val="none"/>
              </w:rPr>
            </w:pPr>
          </w:p>
        </w:tc>
        <w:tc>
          <w:tcPr>
            <w:tcW w:w="1754" w:type="dxa"/>
            <w:vAlign w:val="center"/>
          </w:tcPr>
          <w:p w14:paraId="17B63824">
            <w:pPr>
              <w:jc w:val="center"/>
              <w:rPr>
                <w:rFonts w:hAnsi="宋体"/>
                <w:color w:val="auto"/>
                <w:sz w:val="24"/>
                <w:szCs w:val="24"/>
                <w:highlight w:val="none"/>
              </w:rPr>
            </w:pPr>
          </w:p>
        </w:tc>
        <w:tc>
          <w:tcPr>
            <w:tcW w:w="1418" w:type="dxa"/>
            <w:vAlign w:val="center"/>
          </w:tcPr>
          <w:p w14:paraId="229A6092">
            <w:pPr>
              <w:jc w:val="center"/>
              <w:rPr>
                <w:rFonts w:hAnsi="宋体"/>
                <w:color w:val="auto"/>
                <w:sz w:val="24"/>
                <w:szCs w:val="24"/>
                <w:highlight w:val="none"/>
              </w:rPr>
            </w:pPr>
          </w:p>
        </w:tc>
        <w:tc>
          <w:tcPr>
            <w:tcW w:w="1227" w:type="dxa"/>
            <w:vAlign w:val="center"/>
          </w:tcPr>
          <w:p w14:paraId="44AFDCC6">
            <w:pPr>
              <w:jc w:val="center"/>
              <w:rPr>
                <w:rFonts w:hAnsi="宋体"/>
                <w:color w:val="auto"/>
                <w:sz w:val="24"/>
                <w:szCs w:val="24"/>
                <w:highlight w:val="none"/>
              </w:rPr>
            </w:pPr>
          </w:p>
        </w:tc>
      </w:tr>
      <w:tr w14:paraId="464B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818" w:type="dxa"/>
            <w:vAlign w:val="center"/>
          </w:tcPr>
          <w:p w14:paraId="009D5A65">
            <w:pPr>
              <w:jc w:val="center"/>
              <w:rPr>
                <w:rFonts w:hAnsi="宋体"/>
                <w:color w:val="auto"/>
                <w:sz w:val="24"/>
                <w:szCs w:val="24"/>
                <w:highlight w:val="none"/>
              </w:rPr>
            </w:pPr>
            <w:r>
              <w:rPr>
                <w:rFonts w:hint="eastAsia" w:hAnsi="宋体"/>
                <w:color w:val="auto"/>
                <w:sz w:val="24"/>
                <w:szCs w:val="24"/>
                <w:highlight w:val="none"/>
              </w:rPr>
              <w:t>…</w:t>
            </w:r>
          </w:p>
        </w:tc>
        <w:tc>
          <w:tcPr>
            <w:tcW w:w="1728" w:type="dxa"/>
            <w:vAlign w:val="center"/>
          </w:tcPr>
          <w:p w14:paraId="12C7D8A9">
            <w:pPr>
              <w:jc w:val="center"/>
              <w:rPr>
                <w:rFonts w:hAnsi="宋体"/>
                <w:color w:val="auto"/>
                <w:sz w:val="24"/>
                <w:szCs w:val="24"/>
                <w:highlight w:val="none"/>
              </w:rPr>
            </w:pPr>
          </w:p>
        </w:tc>
        <w:tc>
          <w:tcPr>
            <w:tcW w:w="1091" w:type="dxa"/>
            <w:vAlign w:val="center"/>
          </w:tcPr>
          <w:p w14:paraId="7A342767">
            <w:pPr>
              <w:jc w:val="center"/>
              <w:rPr>
                <w:rFonts w:hAnsi="宋体"/>
                <w:color w:val="auto"/>
                <w:sz w:val="24"/>
                <w:szCs w:val="24"/>
                <w:highlight w:val="none"/>
              </w:rPr>
            </w:pPr>
          </w:p>
        </w:tc>
        <w:tc>
          <w:tcPr>
            <w:tcW w:w="1550" w:type="dxa"/>
            <w:vAlign w:val="center"/>
          </w:tcPr>
          <w:p w14:paraId="258E5DD4">
            <w:pPr>
              <w:jc w:val="center"/>
              <w:rPr>
                <w:rFonts w:hAnsi="宋体"/>
                <w:color w:val="auto"/>
                <w:sz w:val="24"/>
                <w:szCs w:val="24"/>
                <w:highlight w:val="none"/>
              </w:rPr>
            </w:pPr>
          </w:p>
        </w:tc>
        <w:tc>
          <w:tcPr>
            <w:tcW w:w="1754" w:type="dxa"/>
            <w:vAlign w:val="center"/>
          </w:tcPr>
          <w:p w14:paraId="3904038B">
            <w:pPr>
              <w:jc w:val="center"/>
              <w:rPr>
                <w:rFonts w:hAnsi="宋体"/>
                <w:color w:val="auto"/>
                <w:sz w:val="24"/>
                <w:szCs w:val="24"/>
                <w:highlight w:val="none"/>
              </w:rPr>
            </w:pPr>
          </w:p>
        </w:tc>
        <w:tc>
          <w:tcPr>
            <w:tcW w:w="1418" w:type="dxa"/>
            <w:vAlign w:val="center"/>
          </w:tcPr>
          <w:p w14:paraId="7FD75062">
            <w:pPr>
              <w:jc w:val="center"/>
              <w:rPr>
                <w:rFonts w:hAnsi="宋体"/>
                <w:color w:val="auto"/>
                <w:sz w:val="24"/>
                <w:szCs w:val="24"/>
                <w:highlight w:val="none"/>
              </w:rPr>
            </w:pPr>
          </w:p>
        </w:tc>
        <w:tc>
          <w:tcPr>
            <w:tcW w:w="1227" w:type="dxa"/>
            <w:vAlign w:val="center"/>
          </w:tcPr>
          <w:p w14:paraId="542FCCB4">
            <w:pPr>
              <w:jc w:val="center"/>
              <w:rPr>
                <w:rFonts w:hAnsi="宋体"/>
                <w:color w:val="auto"/>
                <w:sz w:val="24"/>
                <w:szCs w:val="24"/>
                <w:highlight w:val="none"/>
              </w:rPr>
            </w:pPr>
          </w:p>
        </w:tc>
      </w:tr>
    </w:tbl>
    <w:p w14:paraId="29F3A717">
      <w:pPr>
        <w:pStyle w:val="16"/>
        <w:spacing w:before="0" w:line="360" w:lineRule="auto"/>
        <w:ind w:left="0"/>
        <w:jc w:val="both"/>
        <w:rPr>
          <w:rFonts w:hAnsi="宋体"/>
          <w:color w:val="auto"/>
          <w:sz w:val="24"/>
          <w:szCs w:val="24"/>
          <w:highlight w:val="none"/>
        </w:rPr>
      </w:pPr>
    </w:p>
    <w:p w14:paraId="0DC30E36">
      <w:pPr>
        <w:spacing w:line="360" w:lineRule="auto"/>
        <w:rPr>
          <w:rFonts w:hAnsi="宋体"/>
          <w:color w:val="auto"/>
          <w:sz w:val="24"/>
          <w:szCs w:val="24"/>
          <w:highlight w:val="none"/>
        </w:rPr>
      </w:pPr>
      <w:r>
        <w:rPr>
          <w:rFonts w:hint="eastAsia" w:hAnsi="宋体"/>
          <w:color w:val="auto"/>
          <w:sz w:val="24"/>
          <w:szCs w:val="24"/>
          <w:highlight w:val="none"/>
        </w:rPr>
        <w:t>投标单位（单位盖章）：</w:t>
      </w:r>
    </w:p>
    <w:p w14:paraId="6FC86DD0">
      <w:pPr>
        <w:spacing w:line="360" w:lineRule="auto"/>
        <w:rPr>
          <w:rFonts w:hAnsi="宋体"/>
          <w:color w:val="auto"/>
          <w:sz w:val="24"/>
          <w:szCs w:val="24"/>
          <w:highlight w:val="none"/>
        </w:rPr>
      </w:pPr>
      <w:r>
        <w:rPr>
          <w:rFonts w:hint="eastAsia" w:hAnsi="宋体"/>
          <w:color w:val="auto"/>
          <w:sz w:val="24"/>
          <w:szCs w:val="24"/>
          <w:highlight w:val="none"/>
        </w:rPr>
        <w:t>法定代表人或代理人（签字或盖章）</w:t>
      </w:r>
    </w:p>
    <w:p w14:paraId="5775C94D">
      <w:pPr>
        <w:spacing w:line="360" w:lineRule="auto"/>
        <w:rPr>
          <w:rFonts w:hAnsi="宋体"/>
          <w:color w:val="auto"/>
          <w:sz w:val="24"/>
          <w:szCs w:val="24"/>
          <w:highlight w:val="none"/>
        </w:rPr>
        <w:sectPr>
          <w:pgSz w:w="11906" w:h="16838"/>
          <w:pgMar w:top="1361" w:right="1304" w:bottom="1304" w:left="1361" w:header="851" w:footer="992" w:gutter="0"/>
          <w:cols w:space="720" w:num="1"/>
          <w:docGrid w:linePitch="360" w:charSpace="0"/>
        </w:sectPr>
      </w:pPr>
      <w:r>
        <w:rPr>
          <w:rFonts w:hAnsi="宋体"/>
          <w:color w:val="auto"/>
          <w:sz w:val="24"/>
          <w:szCs w:val="24"/>
          <w:highlight w:val="none"/>
        </w:rPr>
        <w:t>日期：    年    月    日</w:t>
      </w:r>
    </w:p>
    <w:p w14:paraId="697E863A">
      <w:pPr>
        <w:pStyle w:val="3"/>
        <w:spacing w:line="360" w:lineRule="auto"/>
        <w:ind w:left="0"/>
        <w:rPr>
          <w:rFonts w:hAnsi="宋体"/>
          <w:bCs w:val="0"/>
          <w:color w:val="auto"/>
          <w:sz w:val="24"/>
          <w:szCs w:val="24"/>
          <w:highlight w:val="none"/>
        </w:rPr>
      </w:pPr>
      <w:r>
        <w:rPr>
          <w:rFonts w:hAnsi="宋体"/>
          <w:bCs w:val="0"/>
          <w:color w:val="auto"/>
          <w:sz w:val="24"/>
          <w:szCs w:val="24"/>
          <w:highlight w:val="none"/>
        </w:rPr>
        <w:t>14</w:t>
      </w:r>
      <w:r>
        <w:rPr>
          <w:rFonts w:hint="eastAsia" w:hAnsi="宋体"/>
          <w:bCs w:val="0"/>
          <w:color w:val="auto"/>
          <w:sz w:val="24"/>
          <w:szCs w:val="24"/>
          <w:highlight w:val="none"/>
        </w:rPr>
        <w:t>、中小企业声明函（如有）</w:t>
      </w:r>
    </w:p>
    <w:p w14:paraId="7E4AB5B4">
      <w:pPr>
        <w:pStyle w:val="16"/>
        <w:spacing w:before="0" w:line="360" w:lineRule="auto"/>
        <w:ind w:left="0"/>
        <w:jc w:val="both"/>
        <w:rPr>
          <w:rFonts w:hAnsi="宋体"/>
          <w:color w:val="auto"/>
          <w:sz w:val="24"/>
          <w:szCs w:val="24"/>
          <w:highlight w:val="none"/>
        </w:rPr>
      </w:pPr>
    </w:p>
    <w:p w14:paraId="4FA8B7FA">
      <w:pPr>
        <w:pStyle w:val="16"/>
        <w:spacing w:line="360" w:lineRule="auto"/>
        <w:jc w:val="center"/>
        <w:rPr>
          <w:rFonts w:hAnsi="宋体"/>
          <w:b/>
          <w:bCs/>
          <w:color w:val="auto"/>
          <w:sz w:val="24"/>
          <w:szCs w:val="24"/>
          <w:highlight w:val="none"/>
        </w:rPr>
      </w:pPr>
      <w:r>
        <w:rPr>
          <w:rFonts w:hint="eastAsia" w:hAnsi="宋体"/>
          <w:b/>
          <w:bCs/>
          <w:color w:val="auto"/>
          <w:sz w:val="24"/>
          <w:szCs w:val="24"/>
          <w:highlight w:val="none"/>
        </w:rPr>
        <w:t>中小企业声明函</w:t>
      </w:r>
      <w:r>
        <w:rPr>
          <w:rFonts w:hint="eastAsia" w:hAnsi="宋体"/>
          <w:color w:val="auto"/>
          <w:sz w:val="24"/>
          <w:szCs w:val="24"/>
          <w:highlight w:val="none"/>
        </w:rPr>
        <w:t>（服务）</w:t>
      </w:r>
    </w:p>
    <w:p w14:paraId="7CD1B562">
      <w:pPr>
        <w:pStyle w:val="16"/>
        <w:spacing w:before="0" w:line="360" w:lineRule="auto"/>
        <w:ind w:left="0"/>
        <w:jc w:val="both"/>
        <w:rPr>
          <w:rFonts w:hAnsi="宋体"/>
          <w:color w:val="auto"/>
          <w:sz w:val="24"/>
          <w:szCs w:val="24"/>
          <w:highlight w:val="none"/>
        </w:rPr>
      </w:pPr>
    </w:p>
    <w:p w14:paraId="4E007036">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本公司（联合体）郑重声明，根据《政府采购促进中小企业发展管理办法》（财库</w:t>
      </w:r>
      <w:r>
        <w:rPr>
          <w:rFonts w:hint="eastAsia" w:hAnsi="宋体"/>
          <w:color w:val="auto"/>
          <w:sz w:val="24"/>
          <w:szCs w:val="24"/>
          <w:highlight w:val="none"/>
        </w:rPr>
        <w:t>﹝</w:t>
      </w:r>
      <w:r>
        <w:rPr>
          <w:rFonts w:hAnsi="宋体" w:cs="仿宋"/>
          <w:color w:val="auto"/>
          <w:sz w:val="24"/>
          <w:szCs w:val="24"/>
          <w:highlight w:val="none"/>
        </w:rPr>
        <w:t>2020</w:t>
      </w:r>
      <w:r>
        <w:rPr>
          <w:rFonts w:hint="eastAsia" w:hAnsi="宋体"/>
          <w:color w:val="auto"/>
          <w:sz w:val="24"/>
          <w:szCs w:val="24"/>
          <w:highlight w:val="none"/>
        </w:rPr>
        <w:t>﹞</w:t>
      </w:r>
      <w:r>
        <w:rPr>
          <w:rFonts w:hAnsi="宋体" w:cs="仿宋"/>
          <w:color w:val="auto"/>
          <w:sz w:val="24"/>
          <w:szCs w:val="24"/>
          <w:highlight w:val="none"/>
        </w:rPr>
        <w:t xml:space="preserve">46 </w:t>
      </w:r>
      <w:r>
        <w:rPr>
          <w:rFonts w:hint="eastAsia" w:hAnsi="宋体" w:cs="仿宋"/>
          <w:color w:val="auto"/>
          <w:sz w:val="24"/>
          <w:szCs w:val="24"/>
          <w:highlight w:val="none"/>
        </w:rPr>
        <w:t>号）的规定，本公司（联合体）参加</w:t>
      </w:r>
      <w:r>
        <w:rPr>
          <w:rFonts w:hint="eastAsia" w:hAnsi="宋体" w:cs="仿宋"/>
          <w:color w:val="auto"/>
          <w:sz w:val="24"/>
          <w:szCs w:val="24"/>
          <w:highlight w:val="none"/>
          <w:u w:val="single"/>
        </w:rPr>
        <w:t>（单位名称）</w:t>
      </w:r>
      <w:r>
        <w:rPr>
          <w:rFonts w:hint="eastAsia" w:hAnsi="宋体" w:cs="仿宋"/>
          <w:color w:val="auto"/>
          <w:sz w:val="24"/>
          <w:szCs w:val="24"/>
          <w:highlight w:val="none"/>
        </w:rPr>
        <w:t>的</w:t>
      </w:r>
      <w:r>
        <w:rPr>
          <w:rFonts w:hint="eastAsia" w:hAnsi="宋体" w:cs="仿宋"/>
          <w:color w:val="auto"/>
          <w:sz w:val="24"/>
          <w:szCs w:val="24"/>
          <w:highlight w:val="none"/>
          <w:u w:val="single"/>
        </w:rPr>
        <w:t>（项目名称）</w:t>
      </w:r>
      <w:r>
        <w:rPr>
          <w:rFonts w:hint="eastAsia" w:hAnsi="宋体" w:cs="仿宋"/>
          <w:color w:val="auto"/>
          <w:sz w:val="24"/>
          <w:szCs w:val="24"/>
          <w:highlight w:val="none"/>
        </w:rPr>
        <w:t>采购活动，服务全部由符合政策要求的中小企业承接。相关企业（含联合体中的中小企业、签订分包意向协议的中小企业）的具体情况如下：</w:t>
      </w:r>
    </w:p>
    <w:p w14:paraId="58F3CD54">
      <w:pPr>
        <w:spacing w:line="360" w:lineRule="auto"/>
        <w:ind w:firstLine="480"/>
        <w:rPr>
          <w:rFonts w:hAnsi="宋体" w:cs="仿宋"/>
          <w:color w:val="auto"/>
          <w:sz w:val="24"/>
          <w:szCs w:val="24"/>
          <w:highlight w:val="none"/>
        </w:rPr>
      </w:pPr>
      <w:r>
        <w:rPr>
          <w:rFonts w:hAnsi="宋体" w:cs="仿宋"/>
          <w:color w:val="auto"/>
          <w:sz w:val="24"/>
          <w:szCs w:val="24"/>
          <w:highlight w:val="none"/>
        </w:rPr>
        <w:t>1.</w:t>
      </w:r>
      <w:r>
        <w:rPr>
          <w:rFonts w:hint="eastAsia" w:hAnsi="宋体" w:cs="仿宋"/>
          <w:color w:val="auto"/>
          <w:sz w:val="24"/>
          <w:szCs w:val="24"/>
          <w:highlight w:val="none"/>
          <w:u w:val="single"/>
        </w:rPr>
        <w:t>太仓市公路保洁及应急处置项目</w:t>
      </w:r>
      <w:r>
        <w:rPr>
          <w:rFonts w:hint="eastAsia" w:hAnsi="宋体" w:cs="仿宋"/>
          <w:color w:val="auto"/>
          <w:sz w:val="24"/>
          <w:szCs w:val="24"/>
          <w:highlight w:val="none"/>
        </w:rPr>
        <w:t>，属于</w:t>
      </w:r>
      <w:r>
        <w:rPr>
          <w:rFonts w:hint="eastAsia" w:hAnsi="宋体" w:cs="仿宋"/>
          <w:color w:val="auto"/>
          <w:sz w:val="24"/>
          <w:szCs w:val="24"/>
          <w:highlight w:val="none"/>
          <w:u w:val="single"/>
        </w:rPr>
        <w:t>（十六）其他未列明行业</w:t>
      </w:r>
      <w:r>
        <w:rPr>
          <w:rFonts w:hint="eastAsia" w:hAnsi="宋体" w:cs="仿宋"/>
          <w:color w:val="auto"/>
          <w:sz w:val="24"/>
          <w:szCs w:val="24"/>
          <w:highlight w:val="none"/>
        </w:rPr>
        <w:t>；承建（承接）企业为</w:t>
      </w:r>
      <w:r>
        <w:rPr>
          <w:rFonts w:hint="eastAsia" w:hAnsi="宋体" w:cs="仿宋"/>
          <w:color w:val="auto"/>
          <w:sz w:val="24"/>
          <w:szCs w:val="24"/>
          <w:highlight w:val="none"/>
          <w:u w:val="single"/>
        </w:rPr>
        <w:t>（企业名称）</w:t>
      </w:r>
      <w:r>
        <w:rPr>
          <w:rFonts w:hint="eastAsia" w:hAnsi="宋体" w:cs="仿宋"/>
          <w:color w:val="auto"/>
          <w:sz w:val="24"/>
          <w:szCs w:val="24"/>
          <w:highlight w:val="none"/>
        </w:rPr>
        <w:t>，从业人员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万元，资产总额为</w:t>
      </w:r>
      <w:r>
        <w:rPr>
          <w:rFonts w:hint="eastAsia" w:hAnsi="宋体" w:cs="仿宋"/>
          <w:color w:val="auto"/>
          <w:sz w:val="24"/>
          <w:szCs w:val="24"/>
          <w:highlight w:val="none"/>
          <w:u w:val="single"/>
        </w:rPr>
        <w:t>（金额）</w:t>
      </w:r>
      <w:r>
        <w:rPr>
          <w:rFonts w:hint="eastAsia" w:hAnsi="宋体" w:cs="仿宋"/>
          <w:color w:val="auto"/>
          <w:sz w:val="24"/>
          <w:szCs w:val="24"/>
          <w:highlight w:val="none"/>
        </w:rPr>
        <w:t>万元，属于</w:t>
      </w:r>
      <w:r>
        <w:rPr>
          <w:rFonts w:hint="eastAsia" w:hAnsi="宋体" w:cs="仿宋"/>
          <w:color w:val="auto"/>
          <w:sz w:val="24"/>
          <w:szCs w:val="24"/>
          <w:highlight w:val="none"/>
          <w:u w:val="single"/>
        </w:rPr>
        <w:t>（</w:t>
      </w:r>
      <w:r>
        <w:rPr>
          <w:rFonts w:hint="eastAsia" w:hAnsi="宋体" w:cs="仿宋"/>
          <w:b/>
          <w:color w:val="auto"/>
          <w:sz w:val="24"/>
          <w:szCs w:val="24"/>
          <w:highlight w:val="none"/>
          <w:u w:val="single"/>
        </w:rPr>
        <w:t>中型企业/小型企业/微型企业，三选一</w:t>
      </w:r>
      <w:r>
        <w:rPr>
          <w:rFonts w:hint="eastAsia" w:hAnsi="宋体" w:cs="仿宋"/>
          <w:color w:val="auto"/>
          <w:sz w:val="24"/>
          <w:szCs w:val="24"/>
          <w:highlight w:val="none"/>
          <w:u w:val="single"/>
        </w:rPr>
        <w:t>）</w:t>
      </w:r>
      <w:r>
        <w:rPr>
          <w:rFonts w:hint="eastAsia" w:hAnsi="宋体" w:cs="仿宋"/>
          <w:color w:val="auto"/>
          <w:sz w:val="24"/>
          <w:szCs w:val="24"/>
          <w:highlight w:val="none"/>
        </w:rPr>
        <w:t>；</w:t>
      </w:r>
    </w:p>
    <w:p w14:paraId="4FA10DBA">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以上企业，不属于大企业的分支机构，不存在控股股东为大企业的情形，也不存在与大企业的负责人为同一人的情形。</w:t>
      </w:r>
    </w:p>
    <w:p w14:paraId="25793817">
      <w:pPr>
        <w:spacing w:line="360" w:lineRule="auto"/>
        <w:ind w:firstLine="480"/>
        <w:rPr>
          <w:rFonts w:hAnsi="宋体" w:cs="仿宋"/>
          <w:color w:val="auto"/>
          <w:sz w:val="24"/>
          <w:szCs w:val="24"/>
          <w:highlight w:val="none"/>
        </w:rPr>
      </w:pPr>
      <w:r>
        <w:rPr>
          <w:rFonts w:hint="eastAsia" w:hAnsi="宋体" w:cs="仿宋"/>
          <w:color w:val="auto"/>
          <w:sz w:val="24"/>
          <w:szCs w:val="24"/>
          <w:highlight w:val="none"/>
        </w:rPr>
        <w:t>本企业对上述声明内容的真实性负责。如有虚假，将依法承担相应责任。</w:t>
      </w:r>
    </w:p>
    <w:p w14:paraId="1766EC5C">
      <w:pPr>
        <w:spacing w:line="360" w:lineRule="auto"/>
        <w:ind w:firstLine="480"/>
        <w:rPr>
          <w:rFonts w:hAnsi="宋体" w:cs="仿宋"/>
          <w:color w:val="auto"/>
          <w:sz w:val="24"/>
          <w:szCs w:val="24"/>
          <w:highlight w:val="none"/>
        </w:rPr>
      </w:pPr>
    </w:p>
    <w:p w14:paraId="053428BD">
      <w:pPr>
        <w:spacing w:line="360" w:lineRule="auto"/>
        <w:ind w:firstLine="480"/>
        <w:jc w:val="right"/>
        <w:rPr>
          <w:rFonts w:hAnsi="宋体" w:cs="仿宋"/>
          <w:color w:val="auto"/>
          <w:sz w:val="24"/>
          <w:szCs w:val="24"/>
          <w:highlight w:val="none"/>
        </w:rPr>
      </w:pPr>
      <w:r>
        <w:rPr>
          <w:rFonts w:hint="eastAsia" w:hAnsi="宋体" w:cs="仿宋"/>
          <w:color w:val="auto"/>
          <w:sz w:val="24"/>
          <w:szCs w:val="24"/>
          <w:highlight w:val="none"/>
        </w:rPr>
        <w:t>企业名称（盖章）：</w:t>
      </w:r>
    </w:p>
    <w:p w14:paraId="4E3FC143">
      <w:pPr>
        <w:spacing w:line="360" w:lineRule="auto"/>
        <w:ind w:firstLine="480"/>
        <w:jc w:val="right"/>
        <w:rPr>
          <w:rFonts w:hAnsi="宋体"/>
          <w:color w:val="auto"/>
          <w:sz w:val="24"/>
          <w:szCs w:val="24"/>
          <w:highlight w:val="none"/>
        </w:rPr>
      </w:pPr>
      <w:r>
        <w:rPr>
          <w:rFonts w:hint="eastAsia" w:hAnsi="宋体" w:cs="仿宋"/>
          <w:color w:val="auto"/>
          <w:sz w:val="24"/>
          <w:szCs w:val="24"/>
          <w:highlight w:val="none"/>
        </w:rPr>
        <w:t>日期</w:t>
      </w:r>
    </w:p>
    <w:p w14:paraId="59E5F274">
      <w:pPr>
        <w:pStyle w:val="16"/>
        <w:spacing w:before="0" w:line="360" w:lineRule="auto"/>
        <w:ind w:left="0"/>
        <w:jc w:val="both"/>
        <w:rPr>
          <w:rFonts w:hAnsi="宋体"/>
          <w:color w:val="auto"/>
          <w:sz w:val="24"/>
          <w:szCs w:val="24"/>
          <w:highlight w:val="none"/>
        </w:rPr>
      </w:pPr>
    </w:p>
    <w:p w14:paraId="45C0D09D">
      <w:pPr>
        <w:spacing w:line="360" w:lineRule="auto"/>
        <w:rPr>
          <w:rFonts w:hAnsi="宋体"/>
          <w:b/>
          <w:color w:val="auto"/>
          <w:sz w:val="24"/>
          <w:szCs w:val="24"/>
          <w:highlight w:val="none"/>
        </w:rPr>
      </w:pPr>
      <w:r>
        <w:rPr>
          <w:rFonts w:hint="eastAsia" w:hAnsi="宋体"/>
          <w:b/>
          <w:color w:val="auto"/>
          <w:sz w:val="24"/>
          <w:szCs w:val="24"/>
          <w:highlight w:val="none"/>
        </w:rPr>
        <w:t>备注：</w:t>
      </w:r>
      <w:r>
        <w:rPr>
          <w:rFonts w:hint="eastAsia" w:hAnsi="宋体"/>
          <w:color w:val="auto"/>
          <w:sz w:val="24"/>
          <w:szCs w:val="24"/>
          <w:highlight w:val="none"/>
        </w:rPr>
        <w:t>1、中小企业参加政府采购活动，应当出具《中小企业声明函》，否则不得享受相关中小企业扶持政策。</w:t>
      </w:r>
    </w:p>
    <w:p w14:paraId="2FFDA19D">
      <w:pPr>
        <w:pStyle w:val="38"/>
        <w:spacing w:line="360" w:lineRule="auto"/>
        <w:ind w:firstLine="440"/>
        <w:rPr>
          <w:rFonts w:ascii="宋体" w:hAnsi="宋体" w:cs="宋体"/>
          <w:color w:val="auto"/>
          <w:szCs w:val="24"/>
          <w:highlight w:val="none"/>
        </w:rPr>
      </w:pPr>
      <w:r>
        <w:rPr>
          <w:rFonts w:ascii="宋体" w:hAnsi="宋体" w:cs="宋体"/>
          <w:color w:val="auto"/>
          <w:szCs w:val="24"/>
          <w:highlight w:val="none"/>
        </w:rPr>
        <w:t>2</w:t>
      </w:r>
      <w:r>
        <w:rPr>
          <w:rFonts w:hint="eastAsia" w:ascii="宋体" w:hAnsi="宋体" w:cs="宋体"/>
          <w:color w:val="auto"/>
          <w:szCs w:val="24"/>
          <w:highlight w:val="none"/>
        </w:rPr>
        <w:t>、中标、中标供应商享受规定的中小企业扶持政策的，《中小企业声明函》应当随中标、成交结果同时公告，接受社会监督。</w:t>
      </w:r>
    </w:p>
    <w:p w14:paraId="25A53804">
      <w:pPr>
        <w:pStyle w:val="38"/>
        <w:spacing w:line="360" w:lineRule="auto"/>
        <w:ind w:firstLine="440"/>
        <w:rPr>
          <w:rFonts w:ascii="宋体" w:hAnsi="宋体" w:cs="宋体"/>
          <w:color w:val="auto"/>
          <w:szCs w:val="24"/>
          <w:highlight w:val="none"/>
        </w:rPr>
      </w:pPr>
      <w:r>
        <w:rPr>
          <w:rFonts w:ascii="宋体" w:hAnsi="宋体" w:cs="宋体"/>
          <w:color w:val="auto"/>
          <w:szCs w:val="24"/>
          <w:highlight w:val="none"/>
        </w:rPr>
        <w:t>3</w:t>
      </w:r>
      <w:r>
        <w:rPr>
          <w:rFonts w:hint="eastAsia" w:ascii="宋体" w:hAnsi="宋体" w:cs="宋体"/>
          <w:color w:val="auto"/>
          <w:szCs w:val="24"/>
          <w:highlight w:val="none"/>
        </w:rPr>
        <w:t>、</w:t>
      </w:r>
      <w:r>
        <w:rPr>
          <w:rFonts w:ascii="宋体" w:hAnsi="宋体" w:cs="宋体"/>
          <w:color w:val="auto"/>
          <w:szCs w:val="24"/>
          <w:highlight w:val="none"/>
        </w:rPr>
        <w:t>供应商提供声明函内容不实的，属于提供虚假材料谋取中标、 成交， 依照《中华人民共和国政府采购法》 等国家有关规定追究相应责任。</w:t>
      </w:r>
    </w:p>
    <w:p w14:paraId="2AD20265">
      <w:pPr>
        <w:pStyle w:val="38"/>
        <w:spacing w:line="360" w:lineRule="auto"/>
        <w:ind w:firstLine="440"/>
        <w:rPr>
          <w:rFonts w:ascii="宋体" w:hAnsi="宋体"/>
          <w:color w:val="auto"/>
          <w:szCs w:val="24"/>
          <w:highlight w:val="none"/>
        </w:rPr>
      </w:pPr>
      <w:r>
        <w:rPr>
          <w:rFonts w:hint="eastAsia" w:ascii="宋体" w:hAnsi="宋体" w:cs="宋体"/>
          <w:color w:val="auto"/>
          <w:szCs w:val="24"/>
          <w:highlight w:val="none"/>
        </w:rPr>
        <w:t>4、在服务采购项目中，服务由中小企业承接，即提供服务的人员为中小企业依照《中华人民共和国劳动合同法》订立劳动合同的从业人员。</w:t>
      </w:r>
    </w:p>
    <w:p w14:paraId="16D1D662">
      <w:pPr>
        <w:pStyle w:val="16"/>
        <w:spacing w:before="0" w:line="360" w:lineRule="auto"/>
        <w:ind w:left="0"/>
        <w:jc w:val="both"/>
        <w:rPr>
          <w:rFonts w:hAnsi="宋体"/>
          <w:color w:val="auto"/>
          <w:sz w:val="24"/>
          <w:szCs w:val="24"/>
          <w:highlight w:val="none"/>
        </w:rPr>
      </w:pPr>
    </w:p>
    <w:p w14:paraId="117C70B4">
      <w:pPr>
        <w:pStyle w:val="16"/>
        <w:spacing w:before="0" w:line="360" w:lineRule="auto"/>
        <w:ind w:left="0"/>
        <w:jc w:val="both"/>
        <w:rPr>
          <w:rFonts w:hAnsi="宋体"/>
          <w:color w:val="auto"/>
          <w:sz w:val="24"/>
          <w:szCs w:val="24"/>
          <w:highlight w:val="none"/>
        </w:rPr>
      </w:pPr>
    </w:p>
    <w:p w14:paraId="1B7750CC">
      <w:pPr>
        <w:pStyle w:val="16"/>
        <w:spacing w:before="0" w:line="360" w:lineRule="auto"/>
        <w:ind w:left="0"/>
        <w:jc w:val="both"/>
        <w:rPr>
          <w:rFonts w:hAnsi="宋体"/>
          <w:color w:val="auto"/>
          <w:sz w:val="24"/>
          <w:szCs w:val="24"/>
          <w:highlight w:val="none"/>
        </w:rPr>
      </w:pPr>
    </w:p>
    <w:p w14:paraId="5611BDAE">
      <w:pPr>
        <w:pStyle w:val="16"/>
        <w:spacing w:before="0" w:line="360" w:lineRule="auto"/>
        <w:ind w:left="0"/>
        <w:jc w:val="both"/>
        <w:rPr>
          <w:rFonts w:hAnsi="宋体"/>
          <w:color w:val="auto"/>
          <w:sz w:val="24"/>
          <w:szCs w:val="24"/>
          <w:highlight w:val="none"/>
        </w:rPr>
      </w:pPr>
    </w:p>
    <w:p w14:paraId="6E830BF1">
      <w:pPr>
        <w:pStyle w:val="3"/>
        <w:spacing w:line="360" w:lineRule="auto"/>
        <w:ind w:left="0"/>
        <w:rPr>
          <w:rFonts w:hAnsi="宋体"/>
          <w:bCs w:val="0"/>
          <w:color w:val="auto"/>
          <w:sz w:val="24"/>
          <w:szCs w:val="24"/>
          <w:highlight w:val="none"/>
        </w:rPr>
      </w:pPr>
      <w:r>
        <w:rPr>
          <w:rFonts w:hAnsi="宋体"/>
          <w:bCs w:val="0"/>
          <w:color w:val="auto"/>
          <w:sz w:val="24"/>
          <w:szCs w:val="24"/>
          <w:highlight w:val="none"/>
        </w:rPr>
        <w:t>15、残疾人福利性单位声明函</w:t>
      </w:r>
      <w:r>
        <w:rPr>
          <w:rFonts w:hint="eastAsia" w:hAnsi="宋体"/>
          <w:bCs w:val="0"/>
          <w:color w:val="auto"/>
          <w:sz w:val="24"/>
          <w:szCs w:val="24"/>
          <w:highlight w:val="none"/>
        </w:rPr>
        <w:t>（如有）</w:t>
      </w:r>
    </w:p>
    <w:p w14:paraId="1894F810">
      <w:pPr>
        <w:pStyle w:val="16"/>
        <w:spacing w:before="0" w:line="360" w:lineRule="auto"/>
        <w:ind w:left="0"/>
        <w:jc w:val="both"/>
        <w:rPr>
          <w:rFonts w:hAnsi="宋体"/>
          <w:color w:val="auto"/>
          <w:sz w:val="24"/>
          <w:szCs w:val="24"/>
          <w:highlight w:val="none"/>
        </w:rPr>
      </w:pPr>
    </w:p>
    <w:p w14:paraId="5CBC1CD5">
      <w:pPr>
        <w:spacing w:line="360" w:lineRule="auto"/>
        <w:jc w:val="center"/>
        <w:rPr>
          <w:rFonts w:hAnsi="宋体"/>
          <w:color w:val="auto"/>
          <w:sz w:val="24"/>
          <w:szCs w:val="24"/>
          <w:highlight w:val="none"/>
        </w:rPr>
      </w:pPr>
      <w:r>
        <w:rPr>
          <w:rFonts w:hint="eastAsia" w:hAnsi="宋体"/>
          <w:color w:val="auto"/>
          <w:sz w:val="24"/>
          <w:szCs w:val="24"/>
          <w:highlight w:val="none"/>
        </w:rPr>
        <w:t>残疾人福利性单位声明函</w:t>
      </w:r>
    </w:p>
    <w:p w14:paraId="2917F284">
      <w:pPr>
        <w:pStyle w:val="16"/>
        <w:spacing w:before="0" w:line="360" w:lineRule="auto"/>
        <w:ind w:left="0"/>
        <w:jc w:val="both"/>
        <w:rPr>
          <w:rFonts w:hAnsi="宋体"/>
          <w:color w:val="auto"/>
          <w:sz w:val="24"/>
          <w:szCs w:val="24"/>
          <w:highlight w:val="none"/>
        </w:rPr>
      </w:pPr>
    </w:p>
    <w:p w14:paraId="7E3B71AC">
      <w:pPr>
        <w:spacing w:line="360" w:lineRule="auto"/>
        <w:ind w:firstLine="420"/>
        <w:rPr>
          <w:rFonts w:hAnsi="宋体"/>
          <w:color w:val="auto"/>
          <w:sz w:val="24"/>
          <w:szCs w:val="24"/>
          <w:highlight w:val="none"/>
        </w:rPr>
      </w:pPr>
      <w:r>
        <w:rPr>
          <w:rFonts w:hint="eastAsia" w:hAnsi="宋体"/>
          <w:color w:val="auto"/>
          <w:sz w:val="24"/>
          <w:szCs w:val="24"/>
          <w:highlight w:val="none"/>
        </w:rPr>
        <w:t>本单位郑重声明，根据《财政部</w:t>
      </w:r>
      <w:r>
        <w:rPr>
          <w:rFonts w:hAnsi="宋体"/>
          <w:color w:val="auto"/>
          <w:sz w:val="24"/>
          <w:szCs w:val="24"/>
          <w:highlight w:val="none"/>
        </w:rPr>
        <w:t xml:space="preserve">  </w:t>
      </w:r>
      <w:r>
        <w:rPr>
          <w:rFonts w:hint="eastAsia" w:hAnsi="宋体"/>
          <w:color w:val="auto"/>
          <w:sz w:val="24"/>
          <w:szCs w:val="24"/>
          <w:highlight w:val="none"/>
        </w:rPr>
        <w:t>民政部</w:t>
      </w:r>
      <w:r>
        <w:rPr>
          <w:rFonts w:hAnsi="宋体"/>
          <w:color w:val="auto"/>
          <w:sz w:val="24"/>
          <w:szCs w:val="24"/>
          <w:highlight w:val="none"/>
        </w:rPr>
        <w:t xml:space="preserve">  </w:t>
      </w:r>
      <w:r>
        <w:rPr>
          <w:rFonts w:hint="eastAsia" w:hAnsi="宋体"/>
          <w:color w:val="auto"/>
          <w:sz w:val="24"/>
          <w:szCs w:val="24"/>
          <w:highlight w:val="none"/>
        </w:rPr>
        <w:t>中国残疾人联合会关于促进残疾人就业政府采购政策的通知》（财库〔</w:t>
      </w:r>
      <w:r>
        <w:rPr>
          <w:rFonts w:hAnsi="宋体"/>
          <w:color w:val="auto"/>
          <w:sz w:val="24"/>
          <w:szCs w:val="24"/>
          <w:highlight w:val="none"/>
        </w:rPr>
        <w:t>2017</w:t>
      </w:r>
      <w:r>
        <w:rPr>
          <w:rFonts w:hint="eastAsia" w:hAnsi="宋体"/>
          <w:color w:val="auto"/>
          <w:sz w:val="24"/>
          <w:szCs w:val="24"/>
          <w:highlight w:val="none"/>
        </w:rPr>
        <w:t>〕</w:t>
      </w:r>
      <w:r>
        <w:rPr>
          <w:rFonts w:hAnsi="宋体"/>
          <w:color w:val="auto"/>
          <w:sz w:val="24"/>
          <w:szCs w:val="24"/>
          <w:highlight w:val="none"/>
        </w:rPr>
        <w:t>141</w:t>
      </w:r>
      <w:r>
        <w:rPr>
          <w:rFonts w:hint="eastAsia" w:hAnsi="宋体"/>
          <w:color w:val="auto"/>
          <w:sz w:val="24"/>
          <w:szCs w:val="24"/>
          <w:highlight w:val="none"/>
        </w:rPr>
        <w:t>号）的规定，本单位为符合条件的残疾人福利性单位，且本单位参加</w:t>
      </w:r>
      <w:r>
        <w:rPr>
          <w:rFonts w:hAnsi="宋体"/>
          <w:color w:val="auto"/>
          <w:sz w:val="24"/>
          <w:szCs w:val="24"/>
          <w:highlight w:val="none"/>
        </w:rPr>
        <w:t>______</w:t>
      </w:r>
      <w:r>
        <w:rPr>
          <w:rFonts w:hint="eastAsia" w:hAnsi="宋体"/>
          <w:color w:val="auto"/>
          <w:sz w:val="24"/>
          <w:szCs w:val="24"/>
          <w:highlight w:val="none"/>
        </w:rPr>
        <w:t>单位的</w:t>
      </w:r>
      <w:r>
        <w:rPr>
          <w:rFonts w:hAnsi="宋体"/>
          <w:color w:val="auto"/>
          <w:sz w:val="24"/>
          <w:szCs w:val="24"/>
          <w:highlight w:val="none"/>
        </w:rPr>
        <w:t>______</w:t>
      </w:r>
      <w:r>
        <w:rPr>
          <w:rFonts w:hint="eastAsia" w:hAnsi="宋体"/>
          <w:color w:val="auto"/>
          <w:sz w:val="24"/>
          <w:szCs w:val="24"/>
          <w:highlight w:val="none"/>
        </w:rPr>
        <w:t>项目采购活动提供本单位制造的货物（由本单位承担工程</w:t>
      </w:r>
      <w:r>
        <w:rPr>
          <w:rFonts w:hAnsi="宋体"/>
          <w:color w:val="auto"/>
          <w:sz w:val="24"/>
          <w:szCs w:val="24"/>
          <w:highlight w:val="none"/>
        </w:rPr>
        <w:t>/</w:t>
      </w:r>
      <w:r>
        <w:rPr>
          <w:rFonts w:hint="eastAsia" w:hAnsi="宋体"/>
          <w:color w:val="auto"/>
          <w:sz w:val="24"/>
          <w:szCs w:val="24"/>
          <w:highlight w:val="none"/>
        </w:rPr>
        <w:t>提供服务），或者提供其他残疾人福利性单位制造的货物（不包括使用非残疾人福利性单位注册商标的货物）。</w:t>
      </w:r>
    </w:p>
    <w:p w14:paraId="168906D2">
      <w:pPr>
        <w:spacing w:line="360" w:lineRule="auto"/>
        <w:ind w:firstLine="420"/>
        <w:rPr>
          <w:rFonts w:hAnsi="宋体"/>
          <w:color w:val="auto"/>
          <w:sz w:val="24"/>
          <w:szCs w:val="24"/>
          <w:highlight w:val="none"/>
        </w:rPr>
      </w:pPr>
      <w:r>
        <w:rPr>
          <w:rFonts w:hint="eastAsia" w:hAnsi="宋体"/>
          <w:color w:val="auto"/>
          <w:sz w:val="24"/>
          <w:szCs w:val="24"/>
          <w:highlight w:val="none"/>
        </w:rPr>
        <w:t>本单位对上述声明的真实性负责。如有虚假，将依法承担相应责任。</w:t>
      </w:r>
    </w:p>
    <w:p w14:paraId="47F3EAE6">
      <w:pPr>
        <w:pStyle w:val="16"/>
        <w:spacing w:before="0" w:line="360" w:lineRule="auto"/>
        <w:ind w:left="0"/>
        <w:jc w:val="both"/>
        <w:rPr>
          <w:rFonts w:hAnsi="宋体"/>
          <w:color w:val="auto"/>
          <w:sz w:val="24"/>
          <w:szCs w:val="24"/>
          <w:highlight w:val="none"/>
        </w:rPr>
      </w:pPr>
    </w:p>
    <w:p w14:paraId="5974F3A6">
      <w:pPr>
        <w:pStyle w:val="16"/>
        <w:spacing w:before="0" w:line="360" w:lineRule="auto"/>
        <w:ind w:left="0"/>
        <w:jc w:val="both"/>
        <w:rPr>
          <w:rFonts w:hAnsi="宋体"/>
          <w:color w:val="auto"/>
          <w:sz w:val="24"/>
          <w:szCs w:val="24"/>
          <w:highlight w:val="none"/>
        </w:rPr>
      </w:pPr>
    </w:p>
    <w:p w14:paraId="1B11D1CB">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单位名称（盖章）：</w:t>
      </w:r>
    </w:p>
    <w:p w14:paraId="20770E2B">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日</w:t>
      </w:r>
      <w:r>
        <w:rPr>
          <w:rFonts w:hAnsi="宋体"/>
          <w:color w:val="auto"/>
          <w:sz w:val="24"/>
          <w:szCs w:val="24"/>
          <w:highlight w:val="none"/>
        </w:rPr>
        <w:t> </w:t>
      </w:r>
      <w:r>
        <w:rPr>
          <w:rFonts w:hint="eastAsia" w:hAnsi="宋体"/>
          <w:color w:val="auto"/>
          <w:sz w:val="24"/>
          <w:szCs w:val="24"/>
          <w:highlight w:val="none"/>
        </w:rPr>
        <w:t>期：</w:t>
      </w:r>
    </w:p>
    <w:p w14:paraId="55C31F6C">
      <w:pPr>
        <w:spacing w:line="360" w:lineRule="auto"/>
        <w:rPr>
          <w:rFonts w:hAnsi="宋体"/>
          <w:color w:val="auto"/>
          <w:sz w:val="24"/>
          <w:szCs w:val="24"/>
          <w:highlight w:val="none"/>
        </w:rPr>
        <w:sectPr>
          <w:pgSz w:w="11906" w:h="16838"/>
          <w:pgMar w:top="1361" w:right="1304" w:bottom="1304" w:left="1361" w:header="851" w:footer="992" w:gutter="0"/>
          <w:cols w:space="720" w:num="1"/>
          <w:docGrid w:linePitch="360" w:charSpace="0"/>
        </w:sectPr>
      </w:pPr>
    </w:p>
    <w:p w14:paraId="0221818E">
      <w:pPr>
        <w:pStyle w:val="3"/>
        <w:spacing w:line="360" w:lineRule="auto"/>
        <w:ind w:left="0"/>
        <w:rPr>
          <w:rFonts w:hAnsi="宋体"/>
          <w:bCs w:val="0"/>
          <w:color w:val="auto"/>
          <w:sz w:val="24"/>
          <w:szCs w:val="24"/>
          <w:highlight w:val="none"/>
        </w:rPr>
      </w:pPr>
      <w:r>
        <w:rPr>
          <w:rFonts w:hAnsi="宋体"/>
          <w:bCs w:val="0"/>
          <w:color w:val="auto"/>
          <w:sz w:val="24"/>
          <w:szCs w:val="24"/>
          <w:highlight w:val="none"/>
        </w:rPr>
        <w:t>16</w:t>
      </w:r>
      <w:r>
        <w:rPr>
          <w:rFonts w:hint="eastAsia" w:hAnsi="宋体"/>
          <w:bCs w:val="0"/>
          <w:color w:val="auto"/>
          <w:sz w:val="24"/>
          <w:szCs w:val="24"/>
          <w:highlight w:val="none"/>
        </w:rPr>
        <w:t>、关于符合本国产品标准的声明函（如涉及）</w:t>
      </w:r>
    </w:p>
    <w:p w14:paraId="303145B9">
      <w:pPr>
        <w:pStyle w:val="255"/>
        <w:spacing w:line="360" w:lineRule="auto"/>
        <w:ind w:firstLine="480"/>
        <w:rPr>
          <w:rFonts w:hAnsi="宋体" w:eastAsia="宋体"/>
          <w:b/>
          <w:color w:val="auto"/>
          <w:sz w:val="24"/>
          <w:highlight w:val="none"/>
        </w:rPr>
      </w:pPr>
    </w:p>
    <w:p w14:paraId="0E2AD118">
      <w:pPr>
        <w:widowControl/>
        <w:shd w:val="clear" w:color="auto" w:fill="FFFFFF"/>
        <w:jc w:val="center"/>
        <w:rPr>
          <w:rFonts w:hAnsi="宋体"/>
          <w:color w:val="auto"/>
          <w:sz w:val="36"/>
          <w:szCs w:val="36"/>
          <w:highlight w:val="none"/>
        </w:rPr>
      </w:pPr>
      <w:r>
        <w:rPr>
          <w:rFonts w:hint="eastAsia" w:hAnsi="宋体"/>
          <w:b/>
          <w:bCs/>
          <w:color w:val="auto"/>
          <w:sz w:val="36"/>
          <w:szCs w:val="36"/>
          <w:highlight w:val="none"/>
        </w:rPr>
        <w:t>关于符合本国产品标准的声明函</w:t>
      </w:r>
    </w:p>
    <w:p w14:paraId="3B139442">
      <w:pPr>
        <w:widowControl/>
        <w:shd w:val="clear" w:color="auto" w:fill="FFFFFF"/>
        <w:spacing w:before="30" w:after="30" w:line="360" w:lineRule="auto"/>
        <w:ind w:firstLine="480"/>
        <w:rPr>
          <w:rFonts w:hAnsi="宋体"/>
          <w:color w:val="auto"/>
          <w:sz w:val="24"/>
          <w:szCs w:val="24"/>
          <w:highlight w:val="none"/>
        </w:rPr>
      </w:pPr>
    </w:p>
    <w:p w14:paraId="68FB676A">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26AD8E4E">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w:t>
      </w:r>
      <w:r>
        <w:rPr>
          <w:rFonts w:hint="eastAsia" w:hAnsi="宋体"/>
          <w:i/>
          <w:iCs/>
          <w:color w:val="auto"/>
          <w:sz w:val="24"/>
          <w:szCs w:val="24"/>
          <w:highlight w:val="none"/>
          <w:u w:val="single"/>
        </w:rPr>
        <w:t>（产品名称1）</w:t>
      </w:r>
      <w:r>
        <w:rPr>
          <w:rFonts w:hint="eastAsia" w:hAnsi="宋体"/>
          <w:i/>
          <w:iCs/>
          <w:color w:val="auto"/>
          <w:sz w:val="24"/>
          <w:szCs w:val="24"/>
          <w:highlight w:val="none"/>
          <w:vertAlign w:val="superscript"/>
        </w:rPr>
        <w:t>1</w:t>
      </w:r>
      <w:r>
        <w:rPr>
          <w:rFonts w:hint="eastAsia" w:hAnsi="宋体"/>
          <w:color w:val="auto"/>
          <w:sz w:val="24"/>
          <w:szCs w:val="24"/>
          <w:highlight w:val="none"/>
        </w:rPr>
        <w:t>，生产厂为</w:t>
      </w:r>
      <w:r>
        <w:rPr>
          <w:rFonts w:hint="eastAsia" w:hAnsi="宋体"/>
          <w:i/>
          <w:iCs/>
          <w:color w:val="auto"/>
          <w:sz w:val="24"/>
          <w:szCs w:val="24"/>
          <w:highlight w:val="none"/>
          <w:u w:val="single"/>
        </w:rPr>
        <w:t>（厂名）</w:t>
      </w:r>
      <w:r>
        <w:rPr>
          <w:rFonts w:hint="eastAsia" w:hAnsi="宋体"/>
          <w:i/>
          <w:iCs/>
          <w:color w:val="auto"/>
          <w:sz w:val="24"/>
          <w:szCs w:val="24"/>
          <w:highlight w:val="none"/>
          <w:vertAlign w:val="superscript"/>
        </w:rPr>
        <w:t>2</w:t>
      </w:r>
      <w:r>
        <w:rPr>
          <w:rFonts w:hint="eastAsia" w:hAnsi="宋体"/>
          <w:color w:val="auto"/>
          <w:sz w:val="24"/>
          <w:szCs w:val="24"/>
          <w:highlight w:val="none"/>
        </w:rPr>
        <w:t>，厂址为</w:t>
      </w:r>
      <w:r>
        <w:rPr>
          <w:rFonts w:hint="eastAsia" w:hAnsi="宋体"/>
          <w:i/>
          <w:iCs/>
          <w:color w:val="auto"/>
          <w:sz w:val="24"/>
          <w:szCs w:val="24"/>
          <w:highlight w:val="none"/>
          <w:u w:val="single"/>
        </w:rPr>
        <w:t>（生产厂址）</w:t>
      </w:r>
      <w:r>
        <w:rPr>
          <w:rFonts w:hint="eastAsia" w:hAnsi="宋体"/>
          <w:color w:val="auto"/>
          <w:sz w:val="24"/>
          <w:szCs w:val="24"/>
          <w:highlight w:val="none"/>
        </w:rPr>
        <w:t>。</w:t>
      </w:r>
      <w:r>
        <w:rPr>
          <w:rFonts w:hint="eastAsia" w:hAnsi="宋体"/>
          <w:i/>
          <w:iCs/>
          <w:color w:val="auto"/>
          <w:sz w:val="24"/>
          <w:szCs w:val="24"/>
          <w:highlight w:val="none"/>
          <w:u w:val="single"/>
        </w:rPr>
        <w:t>（产品名称1）</w:t>
      </w:r>
      <w:r>
        <w:rPr>
          <w:rFonts w:hint="eastAsia" w:hAnsi="宋体"/>
          <w:color w:val="auto"/>
          <w:sz w:val="24"/>
          <w:szCs w:val="24"/>
          <w:highlight w:val="none"/>
        </w:rPr>
        <w:t>的中国境内生产的组件成本占比≥</w:t>
      </w:r>
      <w:r>
        <w:rPr>
          <w:rFonts w:hint="eastAsia" w:hAnsi="宋体"/>
          <w:i/>
          <w:iCs/>
          <w:color w:val="auto"/>
          <w:sz w:val="24"/>
          <w:szCs w:val="24"/>
          <w:highlight w:val="none"/>
          <w:u w:val="single"/>
        </w:rPr>
        <w:t>（规定比例）</w:t>
      </w:r>
      <w:r>
        <w:rPr>
          <w:rFonts w:hint="eastAsia" w:hAnsi="宋体"/>
          <w:i/>
          <w:iCs/>
          <w:color w:val="auto"/>
          <w:sz w:val="24"/>
          <w:szCs w:val="24"/>
          <w:highlight w:val="none"/>
          <w:vertAlign w:val="superscript"/>
        </w:rPr>
        <w:t>3</w:t>
      </w:r>
      <w:r>
        <w:rPr>
          <w:rFonts w:hint="eastAsia" w:hAnsi="宋体"/>
          <w:color w:val="auto"/>
          <w:sz w:val="24"/>
          <w:szCs w:val="24"/>
          <w:highlight w:val="none"/>
        </w:rPr>
        <w:t>。</w:t>
      </w:r>
      <w:r>
        <w:rPr>
          <w:rFonts w:hint="eastAsia" w:hAnsi="宋体"/>
          <w:i/>
          <w:iCs/>
          <w:color w:val="auto"/>
          <w:sz w:val="24"/>
          <w:szCs w:val="24"/>
          <w:highlight w:val="none"/>
          <w:u w:val="single"/>
        </w:rPr>
        <w:t>（产品名称1）</w:t>
      </w:r>
      <w:r>
        <w:rPr>
          <w:rFonts w:hint="eastAsia" w:hAnsi="宋体"/>
          <w:color w:val="auto"/>
          <w:sz w:val="24"/>
          <w:szCs w:val="24"/>
          <w:highlight w:val="none"/>
        </w:rPr>
        <w:t>的</w:t>
      </w:r>
      <w:r>
        <w:rPr>
          <w:rFonts w:hint="eastAsia" w:hAnsi="宋体"/>
          <w:i/>
          <w:iCs/>
          <w:color w:val="auto"/>
          <w:sz w:val="24"/>
          <w:szCs w:val="24"/>
          <w:highlight w:val="none"/>
          <w:u w:val="single"/>
        </w:rPr>
        <w:t>（关键组件）</w:t>
      </w:r>
      <w:r>
        <w:rPr>
          <w:rFonts w:hint="eastAsia" w:hAnsi="宋体"/>
          <w:i/>
          <w:iCs/>
          <w:color w:val="auto"/>
          <w:sz w:val="24"/>
          <w:szCs w:val="24"/>
          <w:highlight w:val="none"/>
          <w:vertAlign w:val="superscript"/>
        </w:rPr>
        <w:t>4</w:t>
      </w:r>
      <w:r>
        <w:rPr>
          <w:rFonts w:hint="eastAsia" w:hAnsi="宋体"/>
          <w:color w:val="auto"/>
          <w:sz w:val="24"/>
          <w:szCs w:val="24"/>
          <w:highlight w:val="none"/>
        </w:rPr>
        <w:t>在中国境内生产。</w:t>
      </w:r>
      <w:r>
        <w:rPr>
          <w:rFonts w:hint="eastAsia" w:hAnsi="宋体"/>
          <w:i/>
          <w:iCs/>
          <w:color w:val="auto"/>
          <w:sz w:val="24"/>
          <w:szCs w:val="24"/>
          <w:highlight w:val="none"/>
          <w:u w:val="single"/>
        </w:rPr>
        <w:t>（产品名称1）</w:t>
      </w:r>
      <w:r>
        <w:rPr>
          <w:rFonts w:hint="eastAsia" w:hAnsi="宋体"/>
          <w:color w:val="auto"/>
          <w:sz w:val="24"/>
          <w:szCs w:val="24"/>
          <w:highlight w:val="none"/>
        </w:rPr>
        <w:t>的</w:t>
      </w:r>
      <w:r>
        <w:rPr>
          <w:rFonts w:hint="eastAsia" w:hAnsi="宋体"/>
          <w:i/>
          <w:iCs/>
          <w:color w:val="auto"/>
          <w:sz w:val="24"/>
          <w:szCs w:val="24"/>
          <w:highlight w:val="none"/>
          <w:u w:val="single"/>
        </w:rPr>
        <w:t>（关键工序）</w:t>
      </w:r>
      <w:r>
        <w:rPr>
          <w:rFonts w:hint="eastAsia" w:hAnsi="宋体"/>
          <w:i/>
          <w:iCs/>
          <w:color w:val="auto"/>
          <w:sz w:val="24"/>
          <w:szCs w:val="24"/>
          <w:highlight w:val="none"/>
          <w:vertAlign w:val="superscript"/>
        </w:rPr>
        <w:t>5</w:t>
      </w:r>
      <w:r>
        <w:rPr>
          <w:rFonts w:hint="eastAsia" w:hAnsi="宋体"/>
          <w:color w:val="auto"/>
          <w:sz w:val="24"/>
          <w:szCs w:val="24"/>
          <w:highlight w:val="none"/>
        </w:rPr>
        <w:t>在中国境内完成。</w:t>
      </w:r>
    </w:p>
    <w:p w14:paraId="7C6E08F2">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w:t>
      </w:r>
      <w:r>
        <w:rPr>
          <w:rFonts w:hint="eastAsia" w:hAnsi="宋体"/>
          <w:i/>
          <w:iCs/>
          <w:color w:val="auto"/>
          <w:sz w:val="24"/>
          <w:szCs w:val="24"/>
          <w:highlight w:val="none"/>
          <w:u w:val="single"/>
        </w:rPr>
        <w:t>（产品名称2）</w:t>
      </w:r>
      <w:r>
        <w:rPr>
          <w:rFonts w:hint="eastAsia" w:hAnsi="宋体"/>
          <w:color w:val="auto"/>
          <w:sz w:val="24"/>
          <w:szCs w:val="24"/>
          <w:highlight w:val="none"/>
        </w:rPr>
        <w:t>，生产厂为</w:t>
      </w:r>
      <w:r>
        <w:rPr>
          <w:rFonts w:hint="eastAsia" w:hAnsi="宋体"/>
          <w:i/>
          <w:iCs/>
          <w:color w:val="auto"/>
          <w:sz w:val="24"/>
          <w:szCs w:val="24"/>
          <w:highlight w:val="none"/>
          <w:u w:val="single"/>
        </w:rPr>
        <w:t>（厂名）</w:t>
      </w:r>
      <w:r>
        <w:rPr>
          <w:rFonts w:hint="eastAsia" w:hAnsi="宋体"/>
          <w:color w:val="auto"/>
          <w:sz w:val="24"/>
          <w:szCs w:val="24"/>
          <w:highlight w:val="none"/>
        </w:rPr>
        <w:t>，厂址为</w:t>
      </w:r>
      <w:r>
        <w:rPr>
          <w:rFonts w:hint="eastAsia" w:hAnsi="宋体"/>
          <w:i/>
          <w:iCs/>
          <w:color w:val="auto"/>
          <w:sz w:val="24"/>
          <w:szCs w:val="24"/>
          <w:highlight w:val="none"/>
          <w:u w:val="single"/>
        </w:rPr>
        <w:t>（生产厂址）</w:t>
      </w:r>
      <w:r>
        <w:rPr>
          <w:rFonts w:hint="eastAsia" w:hAnsi="宋体"/>
          <w:color w:val="auto"/>
          <w:sz w:val="24"/>
          <w:szCs w:val="24"/>
          <w:highlight w:val="none"/>
        </w:rPr>
        <w:t>。</w:t>
      </w:r>
      <w:r>
        <w:rPr>
          <w:rFonts w:hint="eastAsia" w:hAnsi="宋体"/>
          <w:i/>
          <w:iCs/>
          <w:color w:val="auto"/>
          <w:sz w:val="24"/>
          <w:szCs w:val="24"/>
          <w:highlight w:val="none"/>
          <w:u w:val="single"/>
        </w:rPr>
        <w:t>（产品名称2）</w:t>
      </w:r>
      <w:r>
        <w:rPr>
          <w:rFonts w:hint="eastAsia" w:hAnsi="宋体"/>
          <w:color w:val="auto"/>
          <w:sz w:val="24"/>
          <w:szCs w:val="24"/>
          <w:highlight w:val="none"/>
        </w:rPr>
        <w:t>的中国境内生产的组件成本占比≥</w:t>
      </w:r>
      <w:r>
        <w:rPr>
          <w:rFonts w:hint="eastAsia" w:hAnsi="宋体"/>
          <w:i/>
          <w:iCs/>
          <w:color w:val="auto"/>
          <w:sz w:val="24"/>
          <w:szCs w:val="24"/>
          <w:highlight w:val="none"/>
          <w:u w:val="single"/>
        </w:rPr>
        <w:t>（规定比例）</w:t>
      </w:r>
      <w:r>
        <w:rPr>
          <w:rFonts w:hint="eastAsia" w:hAnsi="宋体"/>
          <w:color w:val="auto"/>
          <w:sz w:val="24"/>
          <w:szCs w:val="24"/>
          <w:highlight w:val="none"/>
        </w:rPr>
        <w:t>。</w:t>
      </w:r>
      <w:r>
        <w:rPr>
          <w:rFonts w:hint="eastAsia" w:hAnsi="宋体"/>
          <w:i/>
          <w:iCs/>
          <w:color w:val="auto"/>
          <w:sz w:val="24"/>
          <w:szCs w:val="24"/>
          <w:highlight w:val="none"/>
          <w:u w:val="single"/>
        </w:rPr>
        <w:t>（产品名称2）</w:t>
      </w:r>
      <w:r>
        <w:rPr>
          <w:rFonts w:hint="eastAsia" w:hAnsi="宋体"/>
          <w:color w:val="auto"/>
          <w:sz w:val="24"/>
          <w:szCs w:val="24"/>
          <w:highlight w:val="none"/>
        </w:rPr>
        <w:t>的</w:t>
      </w:r>
      <w:r>
        <w:rPr>
          <w:rFonts w:hint="eastAsia" w:hAnsi="宋体"/>
          <w:i/>
          <w:iCs/>
          <w:color w:val="auto"/>
          <w:sz w:val="24"/>
          <w:szCs w:val="24"/>
          <w:highlight w:val="none"/>
          <w:u w:val="single"/>
        </w:rPr>
        <w:t>（关键组件）</w:t>
      </w:r>
      <w:r>
        <w:rPr>
          <w:rFonts w:hint="eastAsia" w:hAnsi="宋体"/>
          <w:color w:val="auto"/>
          <w:sz w:val="24"/>
          <w:szCs w:val="24"/>
          <w:highlight w:val="none"/>
        </w:rPr>
        <w:t>在中国境内生产。</w:t>
      </w:r>
      <w:r>
        <w:rPr>
          <w:rFonts w:hint="eastAsia" w:hAnsi="宋体"/>
          <w:i/>
          <w:iCs/>
          <w:color w:val="auto"/>
          <w:sz w:val="24"/>
          <w:szCs w:val="24"/>
          <w:highlight w:val="none"/>
          <w:u w:val="single"/>
        </w:rPr>
        <w:t>（产品名称2）</w:t>
      </w:r>
      <w:r>
        <w:rPr>
          <w:rFonts w:hint="eastAsia" w:hAnsi="宋体"/>
          <w:color w:val="auto"/>
          <w:sz w:val="24"/>
          <w:szCs w:val="24"/>
          <w:highlight w:val="none"/>
        </w:rPr>
        <w:t>的</w:t>
      </w:r>
      <w:r>
        <w:rPr>
          <w:rFonts w:hint="eastAsia" w:hAnsi="宋体"/>
          <w:i/>
          <w:iCs/>
          <w:color w:val="auto"/>
          <w:sz w:val="24"/>
          <w:szCs w:val="24"/>
          <w:highlight w:val="none"/>
          <w:u w:val="single"/>
        </w:rPr>
        <w:t>（关键工序）</w:t>
      </w:r>
      <w:r>
        <w:rPr>
          <w:rFonts w:hint="eastAsia" w:hAnsi="宋体"/>
          <w:color w:val="auto"/>
          <w:sz w:val="24"/>
          <w:szCs w:val="24"/>
          <w:highlight w:val="none"/>
        </w:rPr>
        <w:t>在中国境内完成。</w:t>
      </w:r>
    </w:p>
    <w:p w14:paraId="415331DC">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w:t>
      </w:r>
    </w:p>
    <w:p w14:paraId="66B36371">
      <w:pPr>
        <w:widowControl/>
        <w:shd w:val="clear" w:color="auto" w:fill="FFFFFF"/>
        <w:spacing w:before="30" w:after="30" w:line="360" w:lineRule="auto"/>
        <w:ind w:firstLine="480"/>
        <w:rPr>
          <w:rFonts w:hAnsi="宋体"/>
          <w:color w:val="auto"/>
          <w:sz w:val="24"/>
          <w:szCs w:val="24"/>
          <w:highlight w:val="none"/>
        </w:rPr>
      </w:pPr>
      <w:r>
        <w:rPr>
          <w:rFonts w:hint="eastAsia" w:hAnsi="宋体"/>
          <w:color w:val="auto"/>
          <w:sz w:val="24"/>
          <w:szCs w:val="24"/>
          <w:highlight w:val="none"/>
        </w:rPr>
        <w:t>本公司（单位）对上述声明内容的真实性负责。如有虚假，愿承担相应法律责任。</w:t>
      </w:r>
    </w:p>
    <w:p w14:paraId="2D6DCB35">
      <w:pPr>
        <w:widowControl/>
        <w:shd w:val="clear" w:color="auto" w:fill="FFFFFF"/>
        <w:spacing w:before="30" w:after="30" w:line="360" w:lineRule="auto"/>
        <w:rPr>
          <w:rFonts w:hAnsi="宋体"/>
          <w:color w:val="auto"/>
          <w:sz w:val="24"/>
          <w:szCs w:val="24"/>
          <w:highlight w:val="none"/>
        </w:rPr>
      </w:pPr>
    </w:p>
    <w:p w14:paraId="6E4E237D">
      <w:pPr>
        <w:widowControl/>
        <w:shd w:val="clear" w:color="auto" w:fill="FFFFFF"/>
        <w:spacing w:before="30" w:after="30" w:line="360" w:lineRule="auto"/>
        <w:jc w:val="right"/>
        <w:rPr>
          <w:rFonts w:hAnsi="宋体"/>
          <w:color w:val="auto"/>
          <w:sz w:val="24"/>
          <w:szCs w:val="24"/>
          <w:highlight w:val="none"/>
        </w:rPr>
      </w:pPr>
      <w:r>
        <w:rPr>
          <w:rFonts w:hint="eastAsia" w:hAnsi="宋体"/>
          <w:color w:val="auto"/>
          <w:sz w:val="24"/>
          <w:szCs w:val="24"/>
          <w:highlight w:val="none"/>
        </w:rPr>
        <w:t>公司（单位）名称（盖章）：　        </w:t>
      </w:r>
    </w:p>
    <w:p w14:paraId="262AD82B">
      <w:pPr>
        <w:widowControl/>
        <w:shd w:val="clear" w:color="auto" w:fill="FFFFFF"/>
        <w:spacing w:line="360" w:lineRule="auto"/>
        <w:jc w:val="right"/>
        <w:rPr>
          <w:rFonts w:hAnsi="宋体"/>
          <w:color w:val="auto"/>
          <w:sz w:val="24"/>
          <w:szCs w:val="24"/>
          <w:highlight w:val="none"/>
        </w:rPr>
      </w:pPr>
      <w:r>
        <w:rPr>
          <w:rFonts w:hint="eastAsia" w:hAnsi="宋体"/>
          <w:color w:val="auto"/>
          <w:sz w:val="24"/>
          <w:szCs w:val="24"/>
          <w:highlight w:val="none"/>
        </w:rPr>
        <w:t>日期：　     年　  月　  日         </w:t>
      </w:r>
    </w:p>
    <w:p w14:paraId="48A8A8F2">
      <w:pPr>
        <w:widowControl/>
        <w:shd w:val="clear" w:color="auto" w:fill="FFFFFF"/>
        <w:spacing w:before="30" w:after="30" w:line="360" w:lineRule="auto"/>
        <w:rPr>
          <w:rFonts w:hAnsi="宋体"/>
          <w:color w:val="auto"/>
          <w:sz w:val="24"/>
          <w:szCs w:val="24"/>
          <w:highlight w:val="none"/>
        </w:rPr>
      </w:pPr>
      <w:r>
        <w:rPr>
          <w:rFonts w:hint="eastAsia" w:hAnsi="宋体"/>
          <w:color w:val="auto"/>
          <w:sz w:val="24"/>
          <w:szCs w:val="24"/>
          <w:highlight w:val="none"/>
        </w:rPr>
        <w:t>__________________</w:t>
      </w:r>
    </w:p>
    <w:p w14:paraId="0FA724D2">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1.产品如有型号，请在“产品名称”栏一并填写。</w:t>
      </w:r>
    </w:p>
    <w:p w14:paraId="7A51F3EB">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2.生产厂名与厂址应与生产厂营业执照载明的相关信息保持一致。</w:t>
      </w:r>
    </w:p>
    <w:p w14:paraId="7CFD7BEE">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3.该产品的中国境内生产的组件成本占比相关要求实施前，“规定比例”栏可不填，下同。</w:t>
      </w:r>
    </w:p>
    <w:p w14:paraId="2C1CF9CA">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4.该产品的关键组件要求实施前，“关键组件”栏可不填，下同。</w:t>
      </w:r>
    </w:p>
    <w:p w14:paraId="0E5C9C8B">
      <w:pPr>
        <w:widowControl/>
        <w:shd w:val="clear" w:color="auto" w:fill="FFFFFF"/>
        <w:spacing w:line="360" w:lineRule="auto"/>
        <w:ind w:firstLine="480"/>
        <w:rPr>
          <w:rFonts w:hAnsi="宋体"/>
          <w:color w:val="auto"/>
          <w:sz w:val="24"/>
          <w:szCs w:val="24"/>
          <w:highlight w:val="none"/>
        </w:rPr>
      </w:pPr>
      <w:r>
        <w:rPr>
          <w:rFonts w:hint="eastAsia" w:hAnsi="宋体"/>
          <w:color w:val="auto"/>
          <w:sz w:val="24"/>
          <w:szCs w:val="24"/>
          <w:highlight w:val="none"/>
        </w:rPr>
        <w:t>5.该产品的关键工序要求实施前，“关键工序”栏可不填，下同。</w:t>
      </w:r>
    </w:p>
    <w:bookmarkEnd w:id="28"/>
    <w:bookmarkEnd w:id="29"/>
    <w:bookmarkEnd w:id="30"/>
    <w:bookmarkEnd w:id="31"/>
    <w:bookmarkEnd w:id="32"/>
    <w:p w14:paraId="25ACDB42">
      <w:pPr>
        <w:pStyle w:val="16"/>
        <w:spacing w:before="0" w:line="360" w:lineRule="auto"/>
        <w:ind w:left="0"/>
        <w:jc w:val="both"/>
        <w:rPr>
          <w:rFonts w:hAnsi="宋体"/>
          <w:color w:val="auto"/>
          <w:sz w:val="21"/>
          <w:highlight w:val="none"/>
        </w:rPr>
        <w:sectPr>
          <w:pgSz w:w="11906" w:h="16838"/>
          <w:pgMar w:top="1361" w:right="1304" w:bottom="1304" w:left="1361" w:header="851" w:footer="992" w:gutter="0"/>
          <w:cols w:space="720" w:num="1"/>
          <w:docGrid w:linePitch="360" w:charSpace="0"/>
        </w:sectPr>
      </w:pPr>
    </w:p>
    <w:p w14:paraId="42C6D5CC">
      <w:pPr>
        <w:jc w:val="center"/>
        <w:outlineLvl w:val="0"/>
        <w:rPr>
          <w:rFonts w:hAnsi="宋体"/>
          <w:b/>
          <w:bCs/>
          <w:color w:val="auto"/>
          <w:sz w:val="32"/>
          <w:szCs w:val="32"/>
          <w:highlight w:val="none"/>
        </w:rPr>
      </w:pPr>
      <w:bookmarkStart w:id="42" w:name="_Toc159507040"/>
      <w:r>
        <w:rPr>
          <w:rFonts w:hint="eastAsia" w:hAnsi="宋体"/>
          <w:b/>
          <w:bCs/>
          <w:color w:val="auto"/>
          <w:sz w:val="32"/>
          <w:szCs w:val="32"/>
          <w:highlight w:val="none"/>
        </w:rPr>
        <w:t>第六章 合同主要条款</w:t>
      </w:r>
      <w:bookmarkEnd w:id="42"/>
    </w:p>
    <w:p w14:paraId="4692FAAE">
      <w:pPr>
        <w:snapToGrid w:val="0"/>
        <w:spacing w:line="360" w:lineRule="auto"/>
        <w:ind w:firstLine="425"/>
        <w:rPr>
          <w:rFonts w:hAnsi="宋体"/>
          <w:color w:val="auto"/>
          <w:sz w:val="24"/>
          <w:szCs w:val="24"/>
          <w:highlight w:val="none"/>
        </w:rPr>
      </w:pPr>
      <w:r>
        <w:rPr>
          <w:rFonts w:hint="eastAsia" w:hAnsi="宋体"/>
          <w:color w:val="auto"/>
          <w:sz w:val="24"/>
          <w:szCs w:val="24"/>
          <w:highlight w:val="none"/>
        </w:rPr>
        <w:t>甲方</w:t>
      </w:r>
      <w:r>
        <w:rPr>
          <w:rFonts w:hAnsi="宋体"/>
          <w:color w:val="auto"/>
          <w:sz w:val="24"/>
          <w:szCs w:val="24"/>
          <w:highlight w:val="none"/>
        </w:rPr>
        <w:t>：</w:t>
      </w:r>
    </w:p>
    <w:p w14:paraId="16D303A7">
      <w:pPr>
        <w:snapToGrid w:val="0"/>
        <w:spacing w:line="360" w:lineRule="auto"/>
        <w:ind w:firstLine="425"/>
        <w:rPr>
          <w:rFonts w:hAnsi="宋体"/>
          <w:color w:val="auto"/>
          <w:sz w:val="24"/>
          <w:szCs w:val="24"/>
          <w:highlight w:val="none"/>
          <w:u w:val="single"/>
        </w:rPr>
      </w:pPr>
      <w:r>
        <w:rPr>
          <w:rFonts w:hint="eastAsia" w:hAnsi="宋体"/>
          <w:color w:val="auto"/>
          <w:sz w:val="24"/>
          <w:szCs w:val="24"/>
          <w:highlight w:val="none"/>
        </w:rPr>
        <w:t>乙方</w:t>
      </w:r>
      <w:r>
        <w:rPr>
          <w:rFonts w:hAnsi="宋体"/>
          <w:color w:val="auto"/>
          <w:sz w:val="24"/>
          <w:szCs w:val="24"/>
          <w:highlight w:val="none"/>
        </w:rPr>
        <w:t>：</w:t>
      </w:r>
    </w:p>
    <w:p w14:paraId="71A4B244">
      <w:pPr>
        <w:snapToGrid w:val="0"/>
        <w:spacing w:line="360" w:lineRule="auto"/>
        <w:ind w:firstLine="480"/>
        <w:rPr>
          <w:rFonts w:hAnsi="宋体"/>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rPr>
        <w:t>苏州安信造价咨询有限公司组织实施的</w:t>
      </w:r>
      <w:r>
        <w:rPr>
          <w:rFonts w:hint="eastAsia" w:hAnsi="宋体"/>
          <w:color w:val="auto"/>
          <w:sz w:val="24"/>
          <w:szCs w:val="24"/>
          <w:highlight w:val="none"/>
          <w:u w:val="single"/>
        </w:rPr>
        <w:t>太仓市公路保洁及应急处置项目</w:t>
      </w:r>
      <w:r>
        <w:rPr>
          <w:rFonts w:hAnsi="宋体"/>
          <w:color w:val="auto"/>
          <w:sz w:val="24"/>
          <w:szCs w:val="24"/>
          <w:highlight w:val="none"/>
        </w:rPr>
        <w:t>项目</w:t>
      </w:r>
      <w:r>
        <w:rPr>
          <w:rFonts w:hint="eastAsia" w:hAnsi="宋体"/>
          <w:color w:val="auto"/>
          <w:sz w:val="24"/>
          <w:szCs w:val="24"/>
          <w:highlight w:val="none"/>
        </w:rPr>
        <w:t>（政府采购编号：</w:t>
      </w:r>
      <w:r>
        <w:rPr>
          <w:rFonts w:hint="eastAsia" w:hAnsi="宋体"/>
          <w:color w:val="auto"/>
          <w:sz w:val="24"/>
          <w:szCs w:val="24"/>
          <w:highlight w:val="none"/>
          <w:u w:val="single"/>
        </w:rPr>
        <w:t>JSZC-320585-TCAX-G2026-0007</w:t>
      </w:r>
      <w:r>
        <w:rPr>
          <w:rFonts w:hint="eastAsia" w:hAnsi="宋体"/>
          <w:color w:val="auto"/>
          <w:sz w:val="24"/>
          <w:szCs w:val="24"/>
          <w:highlight w:val="none"/>
        </w:rPr>
        <w:t>）</w:t>
      </w:r>
      <w:r>
        <w:rPr>
          <w:rFonts w:hAnsi="宋体"/>
          <w:color w:val="auto"/>
          <w:sz w:val="24"/>
          <w:szCs w:val="24"/>
          <w:highlight w:val="none"/>
        </w:rPr>
        <w:t>公开招标的结果，</w:t>
      </w:r>
      <w:r>
        <w:rPr>
          <w:rFonts w:hint="eastAsia" w:hAnsi="宋体"/>
          <w:color w:val="auto"/>
          <w:sz w:val="24"/>
          <w:szCs w:val="24"/>
          <w:highlight w:val="none"/>
        </w:rPr>
        <w:t>就其相关事宜</w:t>
      </w:r>
      <w:r>
        <w:rPr>
          <w:rFonts w:hAnsi="宋体"/>
          <w:color w:val="auto"/>
          <w:sz w:val="24"/>
          <w:szCs w:val="24"/>
          <w:highlight w:val="none"/>
        </w:rPr>
        <w:t>签署本合同。</w:t>
      </w:r>
    </w:p>
    <w:p w14:paraId="35E897D9">
      <w:pPr>
        <w:widowControl/>
        <w:snapToGrid w:val="0"/>
        <w:spacing w:line="360" w:lineRule="auto"/>
        <w:ind w:firstLine="482" w:firstLineChars="200"/>
        <w:jc w:val="both"/>
        <w:rPr>
          <w:rFonts w:hAnsi="宋体"/>
          <w:color w:val="auto"/>
          <w:kern w:val="2"/>
          <w:sz w:val="24"/>
          <w:szCs w:val="24"/>
          <w:highlight w:val="none"/>
        </w:rPr>
      </w:pPr>
      <w:r>
        <w:rPr>
          <w:rFonts w:hint="eastAsia" w:hAnsi="宋体"/>
          <w:b/>
          <w:bCs/>
          <w:color w:val="auto"/>
          <w:sz w:val="24"/>
          <w:szCs w:val="24"/>
          <w:highlight w:val="none"/>
        </w:rPr>
        <w:t>一、</w:t>
      </w:r>
      <w:r>
        <w:rPr>
          <w:rFonts w:hint="eastAsia" w:hAnsi="宋体"/>
          <w:color w:val="auto"/>
          <w:kern w:val="2"/>
          <w:sz w:val="24"/>
          <w:szCs w:val="24"/>
          <w:highlight w:val="none"/>
        </w:rPr>
        <w:t>合同内容：</w:t>
      </w:r>
    </w:p>
    <w:p w14:paraId="7603AC5B">
      <w:pPr>
        <w:widowControl/>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1、乙方被确定为</w:t>
      </w:r>
      <w:r>
        <w:rPr>
          <w:rFonts w:hint="eastAsia" w:hAnsi="宋体"/>
          <w:color w:val="auto"/>
          <w:sz w:val="24"/>
          <w:szCs w:val="24"/>
          <w:highlight w:val="none"/>
          <w:u w:val="single"/>
        </w:rPr>
        <w:t>太仓市公路保洁及应急处置项目服务</w:t>
      </w:r>
      <w:r>
        <w:rPr>
          <w:rFonts w:hint="eastAsia" w:hAnsi="宋体"/>
          <w:color w:val="auto"/>
          <w:kern w:val="2"/>
          <w:sz w:val="24"/>
          <w:szCs w:val="24"/>
          <w:highlight w:val="none"/>
        </w:rPr>
        <w:t>的实施人。</w:t>
      </w:r>
    </w:p>
    <w:p w14:paraId="6314D2F5">
      <w:pPr>
        <w:shd w:val="clear" w:color="auto" w:fill="FFFFFF"/>
        <w:spacing w:line="360" w:lineRule="auto"/>
        <w:ind w:firstLine="480"/>
        <w:rPr>
          <w:rFonts w:hAnsi="宋体"/>
          <w:color w:val="auto"/>
          <w:sz w:val="24"/>
          <w:szCs w:val="24"/>
          <w:highlight w:val="none"/>
        </w:rPr>
      </w:pPr>
      <w:r>
        <w:rPr>
          <w:rFonts w:hint="eastAsia" w:hAnsi="宋体"/>
          <w:color w:val="auto"/>
          <w:kern w:val="2"/>
          <w:sz w:val="24"/>
          <w:szCs w:val="24"/>
          <w:highlight w:val="none"/>
        </w:rPr>
        <w:t>2、服务区域：</w:t>
      </w:r>
    </w:p>
    <w:p w14:paraId="4B6EF737">
      <w:pPr>
        <w:widowControl/>
        <w:snapToGrid w:val="0"/>
        <w:spacing w:line="360" w:lineRule="auto"/>
        <w:ind w:firstLine="480" w:firstLineChars="200"/>
        <w:jc w:val="both"/>
        <w:rPr>
          <w:rFonts w:hAnsi="宋体"/>
          <w:color w:val="auto"/>
          <w:sz w:val="24"/>
          <w:szCs w:val="24"/>
          <w:highlight w:val="none"/>
        </w:rPr>
      </w:pPr>
      <w:r>
        <w:rPr>
          <w:rFonts w:hint="eastAsia" w:hAnsi="宋体"/>
          <w:color w:val="auto"/>
          <w:sz w:val="24"/>
          <w:szCs w:val="24"/>
          <w:highlight w:val="none"/>
        </w:rPr>
        <w:t>①县级：城蓬线、浏昆线、浏双线、双浮线（G346~G204段暂未按G634接养，计入县道里程，后期根据实际接养情况进行调整）、南鹿线、陆璜线、岳鹿线、太沙线等8 条县道（已扣除主城核心区及娄江新城属地管养段），以及G204 辅道、东亭线、G204锡太上跨桥东西匝道、S359岳鹿线上跨桥南北匝道、浏双线广州路段、双浮路双凤段、太浏快速路（沪通铁路一期~G346）等参照县道管养线路，列养里程合计151.634km（具体养护里程每年根据实际列养里程为准）。</w:t>
      </w:r>
    </w:p>
    <w:p w14:paraId="0B94C292">
      <w:pPr>
        <w:widowControl/>
        <w:snapToGrid w:val="0"/>
        <w:spacing w:line="360" w:lineRule="auto"/>
        <w:ind w:firstLine="480" w:firstLineChars="200"/>
        <w:jc w:val="both"/>
        <w:rPr>
          <w:rFonts w:hAnsi="宋体"/>
          <w:color w:val="auto"/>
          <w:kern w:val="2"/>
          <w:sz w:val="24"/>
          <w:szCs w:val="24"/>
          <w:highlight w:val="none"/>
        </w:rPr>
      </w:pPr>
      <w:r>
        <w:rPr>
          <w:rFonts w:hint="eastAsia" w:hAnsi="宋体"/>
          <w:color w:val="auto"/>
          <w:sz w:val="24"/>
          <w:szCs w:val="24"/>
          <w:highlight w:val="none"/>
        </w:rPr>
        <w:t>②国省级：G204太仓段、S339太仓段、G346太仓段、S359太仓段等太仓市域范围内接养的普通国省道，总里程为103.937km（养护里程每年根据实际列养里程为准，合同期间涉及G634太仓段以实际接养情况计算里程）</w:t>
      </w:r>
      <w:r>
        <w:rPr>
          <w:rFonts w:hint="eastAsia" w:hAnsi="宋体"/>
          <w:color w:val="auto"/>
          <w:kern w:val="2"/>
          <w:sz w:val="24"/>
          <w:szCs w:val="24"/>
          <w:highlight w:val="none"/>
        </w:rPr>
        <w:t>。</w:t>
      </w:r>
    </w:p>
    <w:p w14:paraId="27A64BA7">
      <w:pPr>
        <w:widowControl/>
        <w:snapToGrid w:val="0"/>
        <w:spacing w:line="360" w:lineRule="auto"/>
        <w:ind w:firstLine="480" w:firstLineChars="200"/>
        <w:jc w:val="both"/>
        <w:rPr>
          <w:rFonts w:hint="eastAsia" w:hAnsi="宋体" w:eastAsia="宋体"/>
          <w:color w:val="auto"/>
          <w:kern w:val="2"/>
          <w:sz w:val="24"/>
          <w:szCs w:val="24"/>
          <w:highlight w:val="none"/>
          <w:lang w:val="en-US" w:eastAsia="zh-CN"/>
        </w:rPr>
      </w:pPr>
      <w:r>
        <w:rPr>
          <w:rFonts w:hAnsi="宋体"/>
          <w:color w:val="auto"/>
          <w:kern w:val="2"/>
          <w:sz w:val="24"/>
          <w:szCs w:val="24"/>
          <w:highlight w:val="none"/>
        </w:rPr>
        <w:t>3</w:t>
      </w:r>
      <w:r>
        <w:rPr>
          <w:rFonts w:hint="eastAsia" w:hAnsi="宋体"/>
          <w:color w:val="auto"/>
          <w:kern w:val="2"/>
          <w:sz w:val="24"/>
          <w:szCs w:val="24"/>
          <w:highlight w:val="none"/>
        </w:rPr>
        <w:t>、服务期限：</w:t>
      </w:r>
      <w:r>
        <w:rPr>
          <w:rFonts w:hint="eastAsia" w:hAnsi="宋体"/>
          <w:color w:val="auto"/>
          <w:kern w:val="2"/>
          <w:sz w:val="24"/>
          <w:szCs w:val="24"/>
          <w:highlight w:val="none"/>
          <w:lang w:val="en-US" w:eastAsia="zh-CN"/>
        </w:rPr>
        <w:t>一年</w:t>
      </w:r>
    </w:p>
    <w:p w14:paraId="04C0CB24">
      <w:pPr>
        <w:widowControl/>
        <w:snapToGrid w:val="0"/>
        <w:spacing w:line="360" w:lineRule="auto"/>
        <w:ind w:firstLine="480" w:firstLineChars="200"/>
        <w:jc w:val="both"/>
        <w:rPr>
          <w:rFonts w:hAnsi="宋体"/>
          <w:color w:val="auto"/>
          <w:kern w:val="2"/>
          <w:sz w:val="24"/>
          <w:szCs w:val="24"/>
          <w:highlight w:val="none"/>
        </w:rPr>
      </w:pPr>
      <w:r>
        <w:rPr>
          <w:rFonts w:hAnsi="宋体"/>
          <w:color w:val="auto"/>
          <w:kern w:val="2"/>
          <w:sz w:val="24"/>
          <w:szCs w:val="24"/>
          <w:highlight w:val="none"/>
        </w:rPr>
        <w:t>4</w:t>
      </w:r>
      <w:r>
        <w:rPr>
          <w:rFonts w:hint="eastAsia" w:hAnsi="宋体"/>
          <w:color w:val="auto"/>
          <w:kern w:val="2"/>
          <w:sz w:val="24"/>
          <w:szCs w:val="24"/>
          <w:highlight w:val="none"/>
        </w:rPr>
        <w:t>、下列文件为本合同不可分割部分：</w:t>
      </w:r>
    </w:p>
    <w:p w14:paraId="6808529A">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（a）在合同实施期间，甲方与乙方签订的任何其他有效协议；</w:t>
      </w:r>
    </w:p>
    <w:p w14:paraId="12CB1550">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（b）补充合同条款（如果有）；</w:t>
      </w:r>
    </w:p>
    <w:p w14:paraId="414E15CD">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（c）本合同协议书及附件；</w:t>
      </w:r>
    </w:p>
    <w:p w14:paraId="382B1832">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（d）中标通知书；</w:t>
      </w:r>
    </w:p>
    <w:p w14:paraId="4C073280">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（e）投标书（含乙方在评标期间递交和确认并经甲方同意的对有关问题的补充资料和澄清文件等，如果有）；</w:t>
      </w:r>
    </w:p>
    <w:p w14:paraId="4F174971">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（f）合同条款（含数据表和招标文件补遗书中与此有关的部分，如果有）；</w:t>
      </w:r>
    </w:p>
    <w:p w14:paraId="727B7571">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（g）招标文件及保洁养护要求；</w:t>
      </w:r>
    </w:p>
    <w:p w14:paraId="6E55B21F">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（h）报价表；</w:t>
      </w:r>
    </w:p>
    <w:p w14:paraId="33BA5E5F">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（i）构成本合同组成部分的其他文件。</w:t>
      </w:r>
    </w:p>
    <w:p w14:paraId="5981B5FA">
      <w:pPr>
        <w:widowControl/>
        <w:snapToGrid w:val="0"/>
        <w:spacing w:line="360" w:lineRule="auto"/>
        <w:ind w:firstLine="480" w:firstLineChars="200"/>
        <w:jc w:val="both"/>
        <w:rPr>
          <w:rFonts w:hAnsi="宋体"/>
          <w:color w:val="auto"/>
          <w:kern w:val="2"/>
          <w:sz w:val="24"/>
          <w:szCs w:val="24"/>
          <w:highlight w:val="none"/>
        </w:rPr>
      </w:pPr>
      <w:r>
        <w:rPr>
          <w:rFonts w:hAnsi="宋体"/>
          <w:color w:val="auto"/>
          <w:kern w:val="2"/>
          <w:sz w:val="24"/>
          <w:szCs w:val="24"/>
          <w:highlight w:val="none"/>
        </w:rPr>
        <w:t>5</w:t>
      </w:r>
      <w:r>
        <w:rPr>
          <w:rFonts w:hint="eastAsia" w:hAnsi="宋体"/>
          <w:color w:val="auto"/>
          <w:kern w:val="2"/>
          <w:sz w:val="24"/>
          <w:szCs w:val="24"/>
          <w:highlight w:val="none"/>
        </w:rPr>
        <w:t>、标的物清单：</w:t>
      </w:r>
    </w:p>
    <w:p w14:paraId="2ED2FFF1">
      <w:pPr>
        <w:widowControl/>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二、合同价款</w:t>
      </w:r>
      <w:r>
        <w:rPr>
          <w:rFonts w:hint="eastAsia" w:hAnsi="宋体"/>
          <w:color w:val="auto"/>
          <w:sz w:val="24"/>
          <w:szCs w:val="24"/>
          <w:highlight w:val="none"/>
        </w:rPr>
        <w:t>、奖惩与支付：</w:t>
      </w:r>
    </w:p>
    <w:p w14:paraId="2DD0D7F5">
      <w:pPr>
        <w:widowControl/>
        <w:snapToGrid w:val="0"/>
        <w:spacing w:line="360" w:lineRule="auto"/>
        <w:ind w:firstLine="480" w:firstLineChars="200"/>
        <w:jc w:val="both"/>
        <w:rPr>
          <w:rFonts w:hAnsi="宋体"/>
          <w:color w:val="auto"/>
          <w:sz w:val="24"/>
          <w:szCs w:val="24"/>
          <w:highlight w:val="none"/>
        </w:rPr>
      </w:pPr>
      <w:r>
        <w:rPr>
          <w:rFonts w:hint="eastAsia" w:hAnsi="宋体"/>
          <w:color w:val="auto"/>
          <w:sz w:val="24"/>
          <w:szCs w:val="24"/>
          <w:highlight w:val="none"/>
        </w:rPr>
        <w:t>1、合同总金额为人民币元/年（人民币大写：</w:t>
      </w:r>
      <w:r>
        <w:rPr>
          <w:rFonts w:hint="eastAsia" w:hAnsi="宋体"/>
          <w:color w:val="auto"/>
          <w:sz w:val="24"/>
          <w:szCs w:val="24"/>
          <w:highlight w:val="none"/>
          <w:u w:val="single"/>
        </w:rPr>
        <w:t xml:space="preserve">          元整</w:t>
      </w:r>
      <w:r>
        <w:rPr>
          <w:rFonts w:hint="eastAsia" w:hAnsi="宋体"/>
          <w:color w:val="auto"/>
          <w:sz w:val="24"/>
          <w:szCs w:val="24"/>
          <w:highlight w:val="none"/>
        </w:rPr>
        <w:t>）。包括但不限于完成本项目的全部人工工资、加班费、福利、伙食、交通、通讯、办公用品、服装、各类保险、应急基地运营费用、垃圾处置费用、为项目服务所需要的工具、设备、车辆台班（甲供除外）及相关养护费用、耗材、企业管理费用、利润、财务费用、税金、以及合同履行期间可能会产生政策性调整，市场价格变化等各种风险费用。</w:t>
      </w:r>
    </w:p>
    <w:p w14:paraId="4452A5E9">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2、乙方应落实日常自检工作，并做相关记录等内业台账。甲方每月将采取定期与不定期的方式对乙方进行检查、考核。考核办法参照附件1，并实行通报奖惩制度。</w:t>
      </w:r>
    </w:p>
    <w:p w14:paraId="2EE19189">
      <w:pPr>
        <w:widowControl/>
        <w:snapToGrid w:val="0"/>
        <w:spacing w:line="360" w:lineRule="auto"/>
        <w:ind w:firstLine="480" w:firstLineChars="200"/>
        <w:rPr>
          <w:rFonts w:hAnsi="宋体"/>
          <w:color w:val="auto"/>
          <w:sz w:val="24"/>
          <w:szCs w:val="24"/>
          <w:highlight w:val="none"/>
        </w:rPr>
      </w:pPr>
      <w:r>
        <w:rPr>
          <w:rFonts w:hint="eastAsia" w:hAnsi="宋体"/>
          <w:color w:val="auto"/>
          <w:sz w:val="24"/>
          <w:szCs w:val="24"/>
          <w:highlight w:val="none"/>
        </w:rPr>
        <w:t>3、考核奖惩：见合同附件。</w:t>
      </w:r>
    </w:p>
    <w:p w14:paraId="5B7DC237">
      <w:pPr>
        <w:spacing w:line="360" w:lineRule="auto"/>
        <w:ind w:firstLine="482"/>
        <w:rPr>
          <w:rFonts w:hAnsi="宋体"/>
          <w:bCs/>
          <w:color w:val="auto"/>
          <w:sz w:val="24"/>
          <w:szCs w:val="24"/>
          <w:highlight w:val="none"/>
        </w:rPr>
      </w:pPr>
      <w:r>
        <w:rPr>
          <w:rFonts w:hint="eastAsia" w:hAnsi="宋体"/>
          <w:bCs/>
          <w:color w:val="auto"/>
          <w:sz w:val="24"/>
          <w:szCs w:val="24"/>
          <w:highlight w:val="none"/>
        </w:rPr>
        <w:t>4、费用支付与结算</w:t>
      </w:r>
    </w:p>
    <w:p w14:paraId="221DDC48">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（1）合同签订后，甲方支付合同金额的10</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作为预付款，预付款于第一次支付季度服务费中扣回。</w:t>
      </w:r>
    </w:p>
    <w:p w14:paraId="3C506921">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（2）服务费采用每月核定，按季度支付的方式，程序如下：</w:t>
      </w:r>
    </w:p>
    <w:p w14:paraId="519062B3">
      <w:pPr>
        <w:pStyle w:val="12"/>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）乙方按月于月末提出服务费清单报甲方。</w:t>
      </w:r>
    </w:p>
    <w:p w14:paraId="70769E39">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2）甲方在收到乙方报送的服务费清单及相关资料后，完成审核。</w:t>
      </w:r>
    </w:p>
    <w:p w14:paraId="67F2413B">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3）每季度由甲方将核定的服务费拨付给乙方。</w:t>
      </w:r>
    </w:p>
    <w:p w14:paraId="27F575CF">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rPr>
        <w:t>）结算方式：月度核定服务费（元）=月度服务费-考核扣款。</w:t>
      </w:r>
    </w:p>
    <w:p w14:paraId="4077B80B">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三、服务要求：</w:t>
      </w:r>
    </w:p>
    <w:p w14:paraId="26E4E07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1、路面、桥面整洁无杂物；分隔带无杂物、土方平整；人行道板无杂草；路边无明显石子、沙土。</w:t>
      </w:r>
    </w:p>
    <w:p w14:paraId="014B466A">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2、路肩、边坡、边沟、绿化带、林带范围内无杂物、垃圾、堆积物及种植物等；边沟（明、暗）无淤积、排水通畅；路肩垃圾桶周边干净整洁；土路肩、道口平整，无车辙印；路肩林带无新增种植物。</w:t>
      </w:r>
    </w:p>
    <w:p w14:paraId="437CB485">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3、清理、疏通中隔带排水槽、路肩泄水槽；路面无积水；由于路肩土过高造成积水的，应开设排水沟。</w:t>
      </w:r>
    </w:p>
    <w:p w14:paraId="7C10BE7C">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4、桥梁锥坡及周边无明显杂物、杂草等；桥梁泄水孔畅通，桥面无积水，伸缩缝无杂物；桥面无沉积沙土，桥护栏（包括防撞护栏）下无杂草、砂石。</w:t>
      </w:r>
    </w:p>
    <w:p w14:paraId="6E4E08DD">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5、里程碑、轮廓标、百米桩、警示桩、警示牌、桥墩柱、栏杆、防撞护栏、路灯杆、红绿灯杆等沿线安保设施应保持整洁；及时扶正歪倒安保设施；沿线设施上无小广告。</w:t>
      </w:r>
    </w:p>
    <w:p w14:paraId="22F955D1">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6、保洁员上路穿着统一发放的安全标志服；路面杂物应集中处理，不得随意抛洒。</w:t>
      </w:r>
    </w:p>
    <w:p w14:paraId="12CF464E">
      <w:pPr>
        <w:spacing w:line="360" w:lineRule="auto"/>
        <w:ind w:firstLine="482"/>
        <w:rPr>
          <w:rFonts w:hAnsi="宋体" w:cs="仿宋"/>
          <w:color w:val="auto"/>
          <w:sz w:val="24"/>
          <w:szCs w:val="24"/>
          <w:highlight w:val="none"/>
        </w:rPr>
      </w:pPr>
      <w:r>
        <w:rPr>
          <w:rFonts w:hint="eastAsia" w:hAnsi="宋体" w:cs="仿宋"/>
          <w:color w:val="auto"/>
          <w:sz w:val="24"/>
          <w:szCs w:val="24"/>
          <w:highlight w:val="none"/>
        </w:rPr>
        <w:t>7、机械清扫：供应商组织机械清扫组对范围内公路进行全面机械化清扫，部分清扫车辆由采购人提供，供应商为提高工作效率，可配备相关作业车辆。供应商负责对作业车辆进行保洁维护管理工作，保持外观整洁、车身完好，做好停车场所的保洁维护管理。</w:t>
      </w:r>
    </w:p>
    <w:p w14:paraId="27A5AAB0">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8、公路综合养护、护栏清洗、道路冲洗及清扫垃圾分捡:</w:t>
      </w:r>
    </w:p>
    <w:p w14:paraId="05230DE1">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（1）综合养护：沥青路面坑槽修补，处理波浪、局部龟裂、啃边等病害。及时发现并处治裂缝、坑槽、松散、沉陷、车辙等病害,与原路面接合的界面顺直、紧密、耐久,达到平整、美观等效果。</w:t>
      </w:r>
    </w:p>
    <w:p w14:paraId="2B0F2A4B">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（2）道路冲洗、防护栏清洗：清除路面泥土杂物、积沙、污染物、散落物等；排除路面积水,疏通路面排水；清洗道路沿线的防护栏，保持沥青路面和护栏的干净、整洁。</w:t>
      </w:r>
    </w:p>
    <w:p w14:paraId="6C56CF4A">
      <w:pPr>
        <w:widowControl/>
        <w:spacing w:line="360" w:lineRule="auto"/>
        <w:ind w:firstLine="480"/>
        <w:rPr>
          <w:rFonts w:hAnsi="宋体" w:cs="仿宋"/>
          <w:color w:val="auto"/>
          <w:sz w:val="24"/>
          <w:szCs w:val="24"/>
          <w:highlight w:val="none"/>
        </w:rPr>
      </w:pPr>
      <w:r>
        <w:rPr>
          <w:rFonts w:hint="eastAsia" w:hAnsi="宋体" w:cs="仿宋"/>
          <w:color w:val="auto"/>
          <w:sz w:val="24"/>
          <w:szCs w:val="24"/>
          <w:highlight w:val="none"/>
        </w:rPr>
        <w:t>（3）清扫垃圾分捡：对清扫车辆收集的垃圾进行人工分捡,将可回收垃圾（如塑料瓶、易拉罐、废纸盒、废金属）、有害垃圾（如废电池、废灯管）、其它垃圾（如废弃塑料袋、破旧衣物）、大件\特殊垃圾（如路面专属的树枝、树叶、木块）等，进行分类存放，避免污染。</w:t>
      </w:r>
    </w:p>
    <w:p w14:paraId="77951039">
      <w:pPr>
        <w:spacing w:line="360" w:lineRule="auto"/>
        <w:ind w:firstLine="482"/>
        <w:rPr>
          <w:rFonts w:hAnsi="宋体" w:cs="仿宋"/>
          <w:color w:val="auto"/>
          <w:sz w:val="24"/>
          <w:szCs w:val="24"/>
          <w:highlight w:val="none"/>
        </w:rPr>
      </w:pPr>
      <w:r>
        <w:rPr>
          <w:rFonts w:hint="eastAsia" w:hAnsi="宋体" w:cs="仿宋"/>
          <w:color w:val="auto"/>
          <w:sz w:val="24"/>
          <w:szCs w:val="24"/>
          <w:highlight w:val="none"/>
        </w:rPr>
        <w:t>（4）垃圾处理：人工保洁</w:t>
      </w:r>
      <w:r>
        <w:rPr>
          <w:rFonts w:hAnsi="宋体" w:cs="仿宋"/>
          <w:color w:val="auto"/>
          <w:sz w:val="24"/>
          <w:szCs w:val="24"/>
          <w:highlight w:val="none"/>
        </w:rPr>
        <w:t>不得将垃圾扫入绿地、护坡、排水篦、雨水井、河道或非正规区域；严禁现场焚烧、随意填埋</w:t>
      </w:r>
      <w:r>
        <w:rPr>
          <w:rFonts w:hint="eastAsia" w:hAnsi="宋体" w:cs="仿宋"/>
          <w:color w:val="auto"/>
          <w:sz w:val="24"/>
          <w:szCs w:val="24"/>
          <w:highlight w:val="none"/>
        </w:rPr>
        <w:t>。</w:t>
      </w:r>
      <w:r>
        <w:rPr>
          <w:rFonts w:hint="eastAsia"/>
          <w:color w:val="auto"/>
          <w:highlight w:val="none"/>
        </w:rPr>
        <w:t>机械清扫产生的垃圾应由乙方及时处理。</w:t>
      </w:r>
      <w:r>
        <w:rPr>
          <w:rFonts w:hint="eastAsia" w:hAnsi="宋体" w:cs="仿宋"/>
          <w:color w:val="auto"/>
          <w:sz w:val="24"/>
          <w:szCs w:val="24"/>
          <w:highlight w:val="none"/>
        </w:rPr>
        <w:t>。</w:t>
      </w:r>
    </w:p>
    <w:p w14:paraId="5164CD65">
      <w:pPr>
        <w:spacing w:line="360" w:lineRule="auto"/>
        <w:ind w:firstLine="482"/>
        <w:rPr>
          <w:rFonts w:hAnsi="宋体" w:cs="仿宋"/>
          <w:color w:val="auto"/>
          <w:sz w:val="24"/>
          <w:szCs w:val="24"/>
          <w:highlight w:val="none"/>
        </w:rPr>
      </w:pPr>
      <w:r>
        <w:rPr>
          <w:rFonts w:hint="eastAsia" w:hAnsi="宋体" w:cs="仿宋"/>
          <w:color w:val="auto"/>
          <w:sz w:val="24"/>
          <w:szCs w:val="24"/>
          <w:highlight w:val="none"/>
        </w:rPr>
        <w:t>9、</w:t>
      </w:r>
      <w:r>
        <w:rPr>
          <w:rFonts w:hAnsi="宋体" w:cs="仿宋"/>
          <w:color w:val="auto"/>
          <w:sz w:val="24"/>
          <w:szCs w:val="24"/>
          <w:highlight w:val="none"/>
        </w:rPr>
        <w:t>公路养护应急基地</w:t>
      </w:r>
      <w:r>
        <w:rPr>
          <w:rFonts w:hint="eastAsia" w:hAnsi="宋体" w:cs="仿宋"/>
          <w:color w:val="auto"/>
          <w:sz w:val="24"/>
          <w:szCs w:val="24"/>
          <w:highlight w:val="none"/>
        </w:rPr>
        <w:t>运营：</w:t>
      </w:r>
      <w:r>
        <w:rPr>
          <w:rFonts w:hAnsi="宋体" w:cs="仿宋"/>
          <w:color w:val="auto"/>
          <w:sz w:val="24"/>
          <w:szCs w:val="24"/>
          <w:highlight w:val="none"/>
        </w:rPr>
        <w:t>承担全流程运营值守、设备</w:t>
      </w:r>
      <w:r>
        <w:rPr>
          <w:rFonts w:hint="eastAsia" w:hAnsi="宋体" w:cs="仿宋"/>
          <w:color w:val="auto"/>
          <w:sz w:val="24"/>
          <w:szCs w:val="24"/>
          <w:highlight w:val="none"/>
        </w:rPr>
        <w:t>保养、</w:t>
      </w:r>
      <w:r>
        <w:rPr>
          <w:rFonts w:hAnsi="宋体" w:cs="仿宋"/>
          <w:color w:val="auto"/>
          <w:sz w:val="24"/>
          <w:szCs w:val="24"/>
          <w:highlight w:val="none"/>
        </w:rPr>
        <w:t>物资管护、应急处置、日常养护辅助</w:t>
      </w:r>
      <w:r>
        <w:rPr>
          <w:rFonts w:hint="eastAsia" w:hAnsi="宋体" w:cs="仿宋"/>
          <w:color w:val="auto"/>
          <w:sz w:val="24"/>
          <w:szCs w:val="24"/>
          <w:highlight w:val="none"/>
        </w:rPr>
        <w:t>、污水处理及光伏发电等设备的日常运维。</w:t>
      </w:r>
      <w:r>
        <w:rPr>
          <w:rFonts w:hAnsi="宋体" w:cs="仿宋"/>
          <w:color w:val="auto"/>
          <w:sz w:val="24"/>
          <w:szCs w:val="24"/>
          <w:highlight w:val="none"/>
        </w:rPr>
        <w:t>承担基地水电网络运维、零星维修等全流程后勤服务，与应急运营、资产管护形成闭环，确保基地正常运转</w:t>
      </w:r>
      <w:r>
        <w:rPr>
          <w:rFonts w:hint="eastAsia" w:hAnsi="宋体" w:cs="仿宋"/>
          <w:color w:val="auto"/>
          <w:sz w:val="24"/>
          <w:szCs w:val="24"/>
          <w:highlight w:val="none"/>
        </w:rPr>
        <w:t>。</w:t>
      </w:r>
    </w:p>
    <w:p w14:paraId="299B58CD">
      <w:pPr>
        <w:spacing w:line="360" w:lineRule="auto"/>
        <w:ind w:firstLine="482"/>
        <w:rPr>
          <w:rFonts w:hAnsi="宋体" w:cs="Times New Roman"/>
          <w:b/>
          <w:bCs/>
          <w:color w:val="auto"/>
          <w:sz w:val="24"/>
          <w:szCs w:val="24"/>
          <w:highlight w:val="none"/>
        </w:rPr>
      </w:pPr>
      <w:r>
        <w:rPr>
          <w:rFonts w:hint="eastAsia" w:hAnsi="宋体" w:cs="仿宋"/>
          <w:color w:val="auto"/>
          <w:sz w:val="24"/>
          <w:szCs w:val="24"/>
          <w:highlight w:val="none"/>
        </w:rPr>
        <w:t>10、公路突发事件处置：对突发事件，造成道路环境严重污染和阻碍通行严重的事件（包括台风、雨、雪、冰冻以及交通事故灾害等事件）进行应急处置。</w:t>
      </w:r>
    </w:p>
    <w:p w14:paraId="14908032">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四、安全管理</w:t>
      </w:r>
    </w:p>
    <w:p w14:paraId="5EDAECC6">
      <w:pPr>
        <w:adjustRightInd w:val="0"/>
        <w:snapToGrid w:val="0"/>
        <w:spacing w:line="360" w:lineRule="auto"/>
        <w:ind w:firstLine="480" w:firstLineChars="200"/>
        <w:jc w:val="both"/>
        <w:rPr>
          <w:rFonts w:hAnsi="宋体"/>
          <w:color w:val="auto"/>
          <w:kern w:val="2"/>
          <w:sz w:val="24"/>
          <w:szCs w:val="24"/>
          <w:highlight w:val="none"/>
        </w:rPr>
      </w:pPr>
      <w:r>
        <w:rPr>
          <w:rFonts w:hint="eastAsia" w:hAnsi="宋体" w:cs="Times New Roman"/>
          <w:bCs/>
          <w:color w:val="auto"/>
          <w:sz w:val="24"/>
          <w:szCs w:val="24"/>
          <w:highlight w:val="none"/>
        </w:rPr>
        <w:t>1、加强服务人员的安全教育，乙方应为服务于本项目的人员购买商业保险(包含但不仅限于意外医疗、意外伤残、意外身故)，单人保额不低于30万。乙方应在中标后一个月内完成</w:t>
      </w:r>
      <w:r>
        <w:rPr>
          <w:rFonts w:hint="eastAsia" w:hAnsi="宋体" w:cs="Times New Roman"/>
          <w:bCs/>
          <w:color w:val="auto"/>
          <w:sz w:val="24"/>
          <w:szCs w:val="24"/>
          <w:highlight w:val="none"/>
          <w:lang w:val="en-US" w:eastAsia="zh-CN"/>
        </w:rPr>
        <w:t>保险</w:t>
      </w:r>
      <w:r>
        <w:rPr>
          <w:rFonts w:hint="eastAsia" w:hAnsi="宋体" w:cs="Times New Roman"/>
          <w:bCs/>
          <w:color w:val="auto"/>
          <w:sz w:val="24"/>
          <w:szCs w:val="24"/>
          <w:highlight w:val="none"/>
        </w:rPr>
        <w:t>的办理，并将保单递交甲方备案，保单的复印件作为第一次付款的附件资料</w:t>
      </w:r>
      <w:r>
        <w:rPr>
          <w:rFonts w:hint="eastAsia" w:hAnsi="宋体"/>
          <w:color w:val="auto"/>
          <w:kern w:val="2"/>
          <w:sz w:val="24"/>
          <w:szCs w:val="24"/>
          <w:highlight w:val="none"/>
        </w:rPr>
        <w:t>。</w:t>
      </w:r>
    </w:p>
    <w:p w14:paraId="6E74859A">
      <w:pPr>
        <w:spacing w:line="360" w:lineRule="auto"/>
        <w:ind w:firstLine="482"/>
        <w:rPr>
          <w:rFonts w:hAnsi="宋体" w:cs="Times New Roman"/>
          <w:bCs/>
          <w:color w:val="auto"/>
          <w:sz w:val="24"/>
          <w:szCs w:val="24"/>
          <w:highlight w:val="none"/>
        </w:rPr>
      </w:pPr>
      <w:r>
        <w:rPr>
          <w:rFonts w:hint="eastAsia" w:hAnsi="宋体" w:cs="Times New Roman"/>
          <w:bCs/>
          <w:color w:val="auto"/>
          <w:sz w:val="24"/>
          <w:szCs w:val="24"/>
          <w:highlight w:val="none"/>
        </w:rPr>
        <w:t>2、由于</w:t>
      </w:r>
      <w:r>
        <w:rPr>
          <w:rFonts w:hint="eastAsia" w:hAnsi="宋体"/>
          <w:color w:val="auto"/>
          <w:kern w:val="2"/>
          <w:sz w:val="24"/>
          <w:szCs w:val="24"/>
          <w:highlight w:val="none"/>
        </w:rPr>
        <w:t>乙方</w:t>
      </w:r>
      <w:r>
        <w:rPr>
          <w:rFonts w:hint="eastAsia" w:hAnsi="宋体" w:cs="Times New Roman"/>
          <w:bCs/>
          <w:color w:val="auto"/>
          <w:sz w:val="24"/>
          <w:szCs w:val="24"/>
          <w:highlight w:val="none"/>
        </w:rPr>
        <w:t>管理不善，或因乙方人员的过失，或因第三者原因造成的人身、设备、工程质量事故以及其它人为事故，从而造成的工期延误和经济损失的全部责任均应由乙方自负，</w:t>
      </w:r>
      <w:r>
        <w:rPr>
          <w:rFonts w:hint="eastAsia" w:hAnsi="宋体" w:cs="Times New Roman"/>
          <w:bCs/>
          <w:color w:val="auto"/>
          <w:sz w:val="24"/>
          <w:szCs w:val="24"/>
          <w:highlight w:val="none"/>
          <w:lang w:val="en-US" w:eastAsia="zh-CN"/>
        </w:rPr>
        <w:t>甲方</w:t>
      </w:r>
      <w:r>
        <w:rPr>
          <w:rFonts w:hint="eastAsia" w:hAnsi="宋体" w:cs="Times New Roman"/>
          <w:bCs/>
          <w:color w:val="auto"/>
          <w:sz w:val="24"/>
          <w:szCs w:val="24"/>
          <w:highlight w:val="none"/>
        </w:rPr>
        <w:t>不承担任何责任。</w:t>
      </w:r>
    </w:p>
    <w:p w14:paraId="392D41D5">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3</w:t>
      </w:r>
      <w:r>
        <w:rPr>
          <w:rFonts w:hint="eastAsia" w:hAnsi="宋体" w:cs="Times New Roman"/>
          <w:bCs/>
          <w:color w:val="auto"/>
          <w:sz w:val="24"/>
          <w:szCs w:val="24"/>
          <w:highlight w:val="none"/>
        </w:rPr>
        <w:t>、养护作业必须严格按《公路养护安全作业规程》实施，机械操作手在作业时必须遵守甲方的有关规定。</w:t>
      </w:r>
    </w:p>
    <w:p w14:paraId="5D4288F3">
      <w:pPr>
        <w:spacing w:line="360" w:lineRule="auto"/>
        <w:ind w:firstLine="482"/>
        <w:rPr>
          <w:rFonts w:hAnsi="宋体" w:cs="Times New Roman"/>
          <w:bCs/>
          <w:color w:val="auto"/>
          <w:sz w:val="24"/>
          <w:szCs w:val="24"/>
          <w:highlight w:val="none"/>
        </w:rPr>
      </w:pPr>
      <w:r>
        <w:rPr>
          <w:rFonts w:hAnsi="宋体" w:cs="Times New Roman"/>
          <w:bCs/>
          <w:color w:val="auto"/>
          <w:sz w:val="24"/>
          <w:szCs w:val="24"/>
          <w:highlight w:val="none"/>
        </w:rPr>
        <w:t>4</w:t>
      </w:r>
      <w:r>
        <w:rPr>
          <w:rFonts w:hint="eastAsia" w:hAnsi="宋体" w:cs="Times New Roman"/>
          <w:bCs/>
          <w:color w:val="auto"/>
          <w:sz w:val="24"/>
          <w:szCs w:val="24"/>
          <w:highlight w:val="none"/>
        </w:rPr>
        <w:t>、</w:t>
      </w:r>
      <w:r>
        <w:rPr>
          <w:rFonts w:hint="eastAsia" w:hAnsi="宋体"/>
          <w:color w:val="auto"/>
          <w:kern w:val="2"/>
          <w:sz w:val="24"/>
          <w:szCs w:val="24"/>
          <w:highlight w:val="none"/>
        </w:rPr>
        <w:t>乙方</w:t>
      </w:r>
      <w:r>
        <w:rPr>
          <w:rFonts w:hint="eastAsia" w:hAnsi="宋体" w:cs="Times New Roman"/>
          <w:bCs/>
          <w:color w:val="auto"/>
          <w:sz w:val="24"/>
          <w:szCs w:val="24"/>
          <w:highlight w:val="none"/>
        </w:rPr>
        <w:t>在日常小修保养作业路段，由专职安全员负责规范设置各类交通安全设施。</w:t>
      </w:r>
    </w:p>
    <w:p w14:paraId="56EA92F6">
      <w:pPr>
        <w:spacing w:line="360" w:lineRule="auto"/>
        <w:ind w:firstLine="482"/>
        <w:rPr>
          <w:rFonts w:hAnsi="宋体"/>
          <w:color w:val="auto"/>
          <w:kern w:val="2"/>
          <w:sz w:val="24"/>
          <w:szCs w:val="24"/>
          <w:highlight w:val="none"/>
        </w:rPr>
      </w:pPr>
      <w:r>
        <w:rPr>
          <w:rFonts w:hAnsi="宋体" w:cs="Times New Roman"/>
          <w:bCs/>
          <w:color w:val="auto"/>
          <w:sz w:val="24"/>
          <w:szCs w:val="24"/>
          <w:highlight w:val="none"/>
        </w:rPr>
        <w:t>5</w:t>
      </w:r>
      <w:r>
        <w:rPr>
          <w:rFonts w:hint="eastAsia" w:hAnsi="宋体" w:cs="Times New Roman"/>
          <w:bCs/>
          <w:color w:val="auto"/>
          <w:sz w:val="24"/>
          <w:szCs w:val="24"/>
          <w:highlight w:val="none"/>
        </w:rPr>
        <w:t>、</w:t>
      </w:r>
      <w:r>
        <w:rPr>
          <w:rFonts w:hint="eastAsia" w:hAnsi="宋体"/>
          <w:color w:val="auto"/>
          <w:kern w:val="2"/>
          <w:sz w:val="24"/>
          <w:szCs w:val="24"/>
          <w:highlight w:val="none"/>
        </w:rPr>
        <w:t>乙方应</w:t>
      </w:r>
      <w:r>
        <w:rPr>
          <w:rFonts w:hint="eastAsia" w:hAnsi="宋体" w:cs="Times New Roman"/>
          <w:bCs/>
          <w:color w:val="auto"/>
          <w:sz w:val="24"/>
          <w:szCs w:val="24"/>
          <w:highlight w:val="none"/>
        </w:rPr>
        <w:t>每月定期召开安全会议，集中进行安全作业教育。</w:t>
      </w:r>
    </w:p>
    <w:p w14:paraId="05A860A8">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五、保密条款</w:t>
      </w:r>
    </w:p>
    <w:p w14:paraId="6901BC55">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659324C5">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六、甲、乙双方权利义务</w:t>
      </w:r>
    </w:p>
    <w:p w14:paraId="6909F873">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（一）甲方权利和义务</w:t>
      </w:r>
    </w:p>
    <w:p w14:paraId="47FBA6DE">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1、甲方有根据合同对乙方的作业量和作业质量进行检查和考核的权利；</w:t>
      </w:r>
    </w:p>
    <w:p w14:paraId="38FDC4A9">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2、甲方有权自行或邀请第三方或接受社会监督等形式对履约质量进行监管。</w:t>
      </w:r>
    </w:p>
    <w:p w14:paraId="72016438">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3、乙方未按合同规定的标准作业，甲方有要求乙方整改的权利；</w:t>
      </w:r>
    </w:p>
    <w:p w14:paraId="4C514630">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4、甲方有根据考核结果核减乙方作业费用的权利；</w:t>
      </w:r>
    </w:p>
    <w:p w14:paraId="3F337DE8">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5、甲方有向乙方通告检查及考核结果的义务；</w:t>
      </w:r>
    </w:p>
    <w:p w14:paraId="77274F6F">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6、甲方有向乙方解释作业标准及相关工艺的义务；</w:t>
      </w:r>
    </w:p>
    <w:p w14:paraId="59A32D6C">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7、甲方有按时支付价款的义务，因上级部门流转审批致使超出前述期限的甲方免责。</w:t>
      </w:r>
    </w:p>
    <w:p w14:paraId="698DB7DD">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（二）乙方权利义务</w:t>
      </w:r>
    </w:p>
    <w:p w14:paraId="203B0283">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1、乙方有自主经营，组织生产的权利；</w:t>
      </w:r>
    </w:p>
    <w:p w14:paraId="45C9C127">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2、乙方有对作业标准、检查结果要求甲方进行解释说明的权利；</w:t>
      </w:r>
    </w:p>
    <w:p w14:paraId="1E3D76BE">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3、乙方在合同规定的作业范围进行规范操作，如遇到影响作业的外界因素，可以请甲方进行协调；</w:t>
      </w:r>
    </w:p>
    <w:p w14:paraId="3D5AF3F7">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4、乙方有对所属人员进行安全生产培训及承担各种保险、并按时支付工资的责任。乙方与其所属人员之间发生的一切纠纷皆由乙方自行处理，与甲方无关；</w:t>
      </w:r>
    </w:p>
    <w:p w14:paraId="3A394367">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5、乙方除应做好职工的安全生产教育外，还应为养护人员提供必要的劳动保护条件，为养护人员办理作业时的人身安全保险和意外伤害险，一切安全责任事故均由乙方负责；</w:t>
      </w:r>
    </w:p>
    <w:p w14:paraId="06413E56">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6、乙方有保存相关资料，配合甲方进行检查并提供相关报告的义务；</w:t>
      </w:r>
    </w:p>
    <w:p w14:paraId="4546140D">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7、乙方有承担其作业人员自身或造成他人财产及人身损害赔偿责任的义务；</w:t>
      </w:r>
    </w:p>
    <w:p w14:paraId="39570C16">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8、乙方负责对作业范围内产生的市民投诉、舆情应对及其他应急突发事件处理等工作。</w:t>
      </w:r>
    </w:p>
    <w:p w14:paraId="29F27245">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七、违约责任</w:t>
      </w:r>
    </w:p>
    <w:p w14:paraId="7400C6B8">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1、乙方未完成服务任务，由甲方另行委托其它单位，发生的费用在乙方的服务经费中扣除。</w:t>
      </w:r>
    </w:p>
    <w:p w14:paraId="58D12F51">
      <w:pPr>
        <w:snapToGrid w:val="0"/>
        <w:spacing w:line="360" w:lineRule="auto"/>
        <w:ind w:firstLine="480" w:firstLineChars="200"/>
        <w:jc w:val="both"/>
        <w:rPr>
          <w:rFonts w:hAnsi="宋体"/>
          <w:color w:val="auto"/>
          <w:kern w:val="2"/>
          <w:sz w:val="24"/>
          <w:szCs w:val="24"/>
          <w:highlight w:val="none"/>
        </w:rPr>
      </w:pPr>
      <w:r>
        <w:rPr>
          <w:rFonts w:hint="eastAsia" w:hAnsi="宋体"/>
          <w:color w:val="auto"/>
          <w:sz w:val="24"/>
          <w:szCs w:val="24"/>
          <w:highlight w:val="none"/>
        </w:rPr>
        <w:t>2、乙方履行合同不符合合同要求的，甲方有权责令乙方立即改正，乙方拒不改正或已经造成不良社会影响的，甲方有权要求乙方承担责任。</w:t>
      </w:r>
    </w:p>
    <w:p w14:paraId="1DB59DBA">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3、在甲方组织的考核中，乙方如有</w:t>
      </w:r>
      <w:r>
        <w:rPr>
          <w:rFonts w:hint="eastAsia" w:hAnsi="宋体"/>
          <w:color w:val="auto"/>
          <w:kern w:val="2"/>
          <w:sz w:val="24"/>
          <w:szCs w:val="24"/>
          <w:highlight w:val="none"/>
          <w:lang w:val="en-US" w:eastAsia="zh-CN"/>
        </w:rPr>
        <w:t>连续两月</w:t>
      </w:r>
      <w:r>
        <w:rPr>
          <w:rFonts w:hint="eastAsia" w:hAnsi="宋体"/>
          <w:color w:val="auto"/>
          <w:kern w:val="2"/>
          <w:sz w:val="24"/>
          <w:szCs w:val="24"/>
          <w:highlight w:val="none"/>
        </w:rPr>
        <w:t>考核总分低于60分的情况发生；或甲方对乙方提出的各项要求，乙方在标书中承诺的，但在实际工作中未兑现承诺的；甲方有权终止合同，余下未完成的合同任务甲方将有权指定其他单位实施。</w:t>
      </w:r>
    </w:p>
    <w:p w14:paraId="0ABD2212">
      <w:pPr>
        <w:snapToGrid w:val="0"/>
        <w:spacing w:line="360" w:lineRule="auto"/>
        <w:ind w:firstLine="480" w:firstLineChars="200"/>
        <w:jc w:val="both"/>
        <w:rPr>
          <w:rFonts w:hAnsi="宋体"/>
          <w:color w:val="auto"/>
          <w:kern w:val="2"/>
          <w:sz w:val="24"/>
          <w:szCs w:val="24"/>
          <w:highlight w:val="none"/>
        </w:rPr>
      </w:pPr>
      <w:r>
        <w:rPr>
          <w:rFonts w:hint="eastAsia" w:hAnsi="宋体"/>
          <w:color w:val="auto"/>
          <w:kern w:val="2"/>
          <w:sz w:val="24"/>
          <w:szCs w:val="24"/>
          <w:highlight w:val="none"/>
        </w:rPr>
        <w:t>4、乙方承担的违约金不足以赔偿甲方实际损失的，甲方有权要求乙方继续赔偿。</w:t>
      </w:r>
    </w:p>
    <w:p w14:paraId="33C5F431">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八、不可抗力</w:t>
      </w:r>
    </w:p>
    <w:p w14:paraId="33969A6F">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1、甲、乙方中任何一方，因不可抗力不能按时或完全履行合同的，应及时通知对方，并在7个工作日内提供相应证明。未履行完合同部分是否继续履行、如何履行等问题，可由双方初步协商，并向主管部门和政府采购管理部门报告。确定为不可抗力原因造成的损失，可以部分或全部免除责任。</w:t>
      </w:r>
    </w:p>
    <w:p w14:paraId="3BA8D933">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2、因合同一方迟延履行后发生不可抗力的，不能免除责任。</w:t>
      </w:r>
    </w:p>
    <w:p w14:paraId="10150B83">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九、争议的解决</w:t>
      </w:r>
    </w:p>
    <w:p w14:paraId="352378E2">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因履行本合同引起的或与本合同有关的争议，甲、乙双方应首先通过友好协商解决，如果协商不能解决争议，则采取以下第（1）种方式解决争议：</w:t>
      </w:r>
    </w:p>
    <w:p w14:paraId="4D9F4203">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（1）向甲方所在地有管辖权的人民法院提起诉讼；</w:t>
      </w:r>
    </w:p>
    <w:p w14:paraId="69D896BB">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（2）向甲方所在地仲裁委员会按其仲裁规则申请仲裁。</w:t>
      </w:r>
    </w:p>
    <w:p w14:paraId="1E71B2B9">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十、合同生效及其他</w:t>
      </w:r>
    </w:p>
    <w:p w14:paraId="6E216C87">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1、本合同自经甲乙双方授权代表签订并加盖公章后，自签订之日起生效，同时须至招标代理机构备案。</w:t>
      </w:r>
    </w:p>
    <w:p w14:paraId="71AA43C3">
      <w:pPr>
        <w:spacing w:line="360" w:lineRule="auto"/>
        <w:ind w:firstLine="420"/>
        <w:jc w:val="both"/>
        <w:rPr>
          <w:rFonts w:hAnsi="宋体"/>
          <w:color w:val="auto"/>
          <w:kern w:val="2"/>
          <w:sz w:val="24"/>
          <w:szCs w:val="24"/>
          <w:highlight w:val="none"/>
        </w:rPr>
      </w:pPr>
      <w:r>
        <w:rPr>
          <w:rFonts w:hint="eastAsia" w:hAnsi="宋体"/>
          <w:color w:val="auto"/>
          <w:kern w:val="2"/>
          <w:sz w:val="24"/>
          <w:szCs w:val="24"/>
          <w:highlight w:val="none"/>
        </w:rPr>
        <w:t>2、本合同一式五份，甲乙双方各执二份，招标代理机构执一份存档。</w:t>
      </w:r>
    </w:p>
    <w:p w14:paraId="2B96499D">
      <w:pPr>
        <w:spacing w:line="360" w:lineRule="auto"/>
        <w:ind w:firstLine="420"/>
        <w:jc w:val="both"/>
        <w:rPr>
          <w:rFonts w:hAnsi="宋体"/>
          <w:color w:val="auto"/>
          <w:sz w:val="24"/>
          <w:szCs w:val="24"/>
          <w:highlight w:val="none"/>
        </w:rPr>
      </w:pPr>
      <w:r>
        <w:rPr>
          <w:rFonts w:hint="eastAsia" w:hAnsi="宋体"/>
          <w:color w:val="auto"/>
          <w:kern w:val="2"/>
          <w:sz w:val="24"/>
          <w:szCs w:val="24"/>
          <w:highlight w:val="none"/>
        </w:rPr>
        <w:t>3、本合同应按照中华人民共和国的现行法律进行解释。</w:t>
      </w:r>
    </w:p>
    <w:p w14:paraId="6809280D">
      <w:pPr>
        <w:spacing w:line="360" w:lineRule="auto"/>
        <w:ind w:firstLine="420"/>
        <w:jc w:val="both"/>
        <w:rPr>
          <w:rFonts w:hAnsi="宋体"/>
          <w:color w:val="auto"/>
          <w:sz w:val="24"/>
          <w:szCs w:val="24"/>
          <w:highlight w:val="none"/>
        </w:rPr>
      </w:pPr>
    </w:p>
    <w:tbl>
      <w:tblPr>
        <w:tblStyle w:val="42"/>
        <w:tblW w:w="9280" w:type="dxa"/>
        <w:jc w:val="center"/>
        <w:tblLayout w:type="fixed"/>
        <w:tblCellMar>
          <w:top w:w="0" w:type="dxa"/>
          <w:left w:w="108" w:type="dxa"/>
          <w:bottom w:w="0" w:type="dxa"/>
          <w:right w:w="108" w:type="dxa"/>
        </w:tblCellMar>
      </w:tblPr>
      <w:tblGrid>
        <w:gridCol w:w="4536"/>
        <w:gridCol w:w="4744"/>
      </w:tblGrid>
      <w:tr w14:paraId="297A45B9">
        <w:tblPrEx>
          <w:tblCellMar>
            <w:top w:w="0" w:type="dxa"/>
            <w:left w:w="108" w:type="dxa"/>
            <w:bottom w:w="0" w:type="dxa"/>
            <w:right w:w="108" w:type="dxa"/>
          </w:tblCellMar>
        </w:tblPrEx>
        <w:trPr>
          <w:trHeight w:val="23" w:hRule="atLeast"/>
          <w:jc w:val="center"/>
        </w:trPr>
        <w:tc>
          <w:tcPr>
            <w:tcW w:w="4536" w:type="dxa"/>
            <w:tcBorders>
              <w:top w:val="nil"/>
              <w:left w:val="nil"/>
              <w:bottom w:val="nil"/>
              <w:right w:val="nil"/>
            </w:tcBorders>
            <w:vAlign w:val="center"/>
          </w:tcPr>
          <w:p w14:paraId="03F57364">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甲方（盖章）：</w:t>
            </w:r>
          </w:p>
        </w:tc>
        <w:tc>
          <w:tcPr>
            <w:tcW w:w="4744" w:type="dxa"/>
            <w:tcBorders>
              <w:top w:val="nil"/>
              <w:left w:val="nil"/>
              <w:bottom w:val="nil"/>
              <w:right w:val="nil"/>
            </w:tcBorders>
            <w:vAlign w:val="center"/>
          </w:tcPr>
          <w:p w14:paraId="0AC50DAD">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乙方（盖章）：</w:t>
            </w:r>
          </w:p>
        </w:tc>
      </w:tr>
      <w:tr w14:paraId="154B4492">
        <w:tblPrEx>
          <w:tblCellMar>
            <w:top w:w="0" w:type="dxa"/>
            <w:left w:w="108" w:type="dxa"/>
            <w:bottom w:w="0" w:type="dxa"/>
            <w:right w:w="108" w:type="dxa"/>
          </w:tblCellMar>
        </w:tblPrEx>
        <w:trPr>
          <w:trHeight w:val="23" w:hRule="atLeast"/>
          <w:jc w:val="center"/>
        </w:trPr>
        <w:tc>
          <w:tcPr>
            <w:tcW w:w="4536" w:type="dxa"/>
            <w:tcBorders>
              <w:top w:val="nil"/>
              <w:left w:val="nil"/>
              <w:bottom w:val="nil"/>
              <w:right w:val="nil"/>
            </w:tcBorders>
            <w:vAlign w:val="center"/>
          </w:tcPr>
          <w:p w14:paraId="41305FE5">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法定（授权）代表人（签字）：</w:t>
            </w:r>
          </w:p>
        </w:tc>
        <w:tc>
          <w:tcPr>
            <w:tcW w:w="4744" w:type="dxa"/>
            <w:tcBorders>
              <w:top w:val="nil"/>
              <w:left w:val="nil"/>
              <w:bottom w:val="nil"/>
              <w:right w:val="nil"/>
            </w:tcBorders>
            <w:vAlign w:val="center"/>
          </w:tcPr>
          <w:p w14:paraId="5A5DBCC8">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 xml:space="preserve">法定（授权）代表人（签字）：    </w:t>
            </w:r>
          </w:p>
        </w:tc>
      </w:tr>
      <w:tr w14:paraId="4DE3AB9E">
        <w:tblPrEx>
          <w:tblCellMar>
            <w:top w:w="0" w:type="dxa"/>
            <w:left w:w="108" w:type="dxa"/>
            <w:bottom w:w="0" w:type="dxa"/>
            <w:right w:w="108" w:type="dxa"/>
          </w:tblCellMar>
        </w:tblPrEx>
        <w:trPr>
          <w:trHeight w:val="23" w:hRule="atLeast"/>
          <w:jc w:val="center"/>
        </w:trPr>
        <w:tc>
          <w:tcPr>
            <w:tcW w:w="4536" w:type="dxa"/>
            <w:tcBorders>
              <w:top w:val="nil"/>
              <w:left w:val="nil"/>
              <w:bottom w:val="nil"/>
              <w:right w:val="nil"/>
            </w:tcBorders>
            <w:vAlign w:val="center"/>
          </w:tcPr>
          <w:p w14:paraId="477F9369">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签订日期：</w:t>
            </w:r>
          </w:p>
        </w:tc>
        <w:tc>
          <w:tcPr>
            <w:tcW w:w="4744" w:type="dxa"/>
            <w:tcBorders>
              <w:top w:val="nil"/>
              <w:left w:val="nil"/>
              <w:bottom w:val="nil"/>
              <w:right w:val="nil"/>
            </w:tcBorders>
            <w:vAlign w:val="center"/>
          </w:tcPr>
          <w:p w14:paraId="0061B15E">
            <w:pPr>
              <w:tabs>
                <w:tab w:val="left" w:pos="0"/>
              </w:tabs>
              <w:spacing w:line="480" w:lineRule="auto"/>
              <w:jc w:val="both"/>
              <w:rPr>
                <w:rFonts w:hAnsi="宋体"/>
                <w:bCs/>
                <w:color w:val="auto"/>
                <w:sz w:val="24"/>
                <w:szCs w:val="24"/>
                <w:highlight w:val="none"/>
              </w:rPr>
            </w:pPr>
            <w:r>
              <w:rPr>
                <w:rFonts w:hint="eastAsia" w:hAnsi="宋体"/>
                <w:bCs/>
                <w:color w:val="auto"/>
                <w:sz w:val="24"/>
                <w:szCs w:val="24"/>
                <w:highlight w:val="none"/>
              </w:rPr>
              <w:t>签订日期：</w:t>
            </w:r>
          </w:p>
        </w:tc>
      </w:tr>
    </w:tbl>
    <w:p w14:paraId="367BFA55">
      <w:pPr>
        <w:jc w:val="both"/>
        <w:rPr>
          <w:rFonts w:hAnsi="宋体" w:cs="Times New Roman"/>
          <w:color w:val="auto"/>
          <w:sz w:val="24"/>
          <w:szCs w:val="24"/>
          <w:highlight w:val="none"/>
        </w:rPr>
        <w:sectPr>
          <w:footerReference r:id="rId10" w:type="first"/>
          <w:headerReference r:id="rId8" w:type="default"/>
          <w:footerReference r:id="rId9" w:type="default"/>
          <w:pgSz w:w="11906" w:h="16838"/>
          <w:pgMar w:top="1361" w:right="1304" w:bottom="1304" w:left="1361" w:header="851" w:footer="992" w:gutter="0"/>
          <w:cols w:space="720" w:num="1"/>
          <w:docGrid w:linePitch="360" w:charSpace="0"/>
        </w:sectPr>
      </w:pPr>
    </w:p>
    <w:p w14:paraId="71BDB925">
      <w:pPr>
        <w:jc w:val="both"/>
        <w:rPr>
          <w:rFonts w:hAnsi="宋体" w:cs="Times New Roman"/>
          <w:color w:val="auto"/>
          <w:sz w:val="32"/>
          <w:szCs w:val="24"/>
          <w:highlight w:val="none"/>
        </w:rPr>
      </w:pPr>
      <w:r>
        <w:rPr>
          <w:rFonts w:hint="eastAsia" w:hAnsi="宋体" w:cs="Times New Roman"/>
          <w:color w:val="auto"/>
          <w:sz w:val="32"/>
          <w:szCs w:val="24"/>
          <w:highlight w:val="none"/>
        </w:rPr>
        <w:t>附件1：</w:t>
      </w:r>
    </w:p>
    <w:p w14:paraId="3037AA10">
      <w:pPr>
        <w:pStyle w:val="428"/>
        <w:tabs>
          <w:tab w:val="left" w:pos="1442"/>
        </w:tabs>
        <w:spacing w:line="540" w:lineRule="exact"/>
        <w:ind w:firstLine="543" w:firstLineChars="194"/>
        <w:jc w:val="center"/>
        <w:rPr>
          <w:rFonts w:ascii="方正小标宋简体" w:eastAsia="方正小标宋简体"/>
          <w:color w:val="auto"/>
          <w:sz w:val="28"/>
          <w:szCs w:val="28"/>
          <w:highlight w:val="none"/>
        </w:rPr>
      </w:pPr>
      <w:r>
        <w:rPr>
          <w:rFonts w:hint="eastAsia" w:ascii="方正小标宋简体" w:eastAsia="方正小标宋简体"/>
          <w:color w:val="auto"/>
          <w:sz w:val="28"/>
          <w:szCs w:val="28"/>
          <w:highlight w:val="none"/>
        </w:rPr>
        <w:t>太仓市公路保洁及应急处置工作考核办法</w:t>
      </w:r>
    </w:p>
    <w:p w14:paraId="4F9243E7">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为进一步加强和规范我市公路保洁及应急处置工作，提高路容路貌水平和应急响应水平，打造优美的道路通行环境，结合我市公路保洁及应急处置的实际情况，特制定本考核办法。</w:t>
      </w:r>
    </w:p>
    <w:p w14:paraId="1A2BBC76">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一、考核机构</w:t>
      </w:r>
    </w:p>
    <w:p w14:paraId="5D02B0E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太仓市交通运输局（委托太仓市公路事业发展中心实施）</w:t>
      </w:r>
    </w:p>
    <w:p w14:paraId="1D1F50DB">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二、考核对象</w:t>
      </w:r>
    </w:p>
    <w:p w14:paraId="3514601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太仓市公路保洁及应急处置项目服务单位</w:t>
      </w:r>
    </w:p>
    <w:p w14:paraId="3FAE1030">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三、考核方式</w:t>
      </w:r>
    </w:p>
    <w:p w14:paraId="0938FC5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1.每月进行考核，考核包含</w:t>
      </w:r>
      <w:r>
        <w:rPr>
          <w:rFonts w:hint="eastAsia" w:ascii="宋体" w:hAnsi="宋体" w:eastAsia="宋体" w:cs="宋体"/>
          <w:b/>
          <w:bCs/>
          <w:color w:val="auto"/>
          <w:sz w:val="28"/>
          <w:szCs w:val="28"/>
          <w:highlight w:val="none"/>
        </w:rPr>
        <w:t>外业生产、内业台账、安全文明及完成工作情况</w:t>
      </w:r>
      <w:r>
        <w:rPr>
          <w:rFonts w:hint="eastAsia" w:ascii="宋体" w:hAnsi="宋体" w:eastAsia="宋体" w:cs="宋体"/>
          <w:color w:val="auto"/>
          <w:sz w:val="28"/>
          <w:szCs w:val="28"/>
          <w:highlight w:val="none"/>
        </w:rPr>
        <w:t>，根据考核情况下发书面考核通报。</w:t>
      </w:r>
    </w:p>
    <w:p w14:paraId="0F905BA8">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2.考核满分为100分，考核分保留一位小数。考核得分=</w:t>
      </w:r>
      <w:r>
        <w:rPr>
          <w:rFonts w:hint="eastAsia" w:ascii="宋体" w:hAnsi="宋体" w:eastAsia="宋体" w:cs="宋体"/>
          <w:b/>
          <w:bCs/>
          <w:color w:val="auto"/>
          <w:sz w:val="28"/>
          <w:szCs w:val="28"/>
          <w:highlight w:val="none"/>
        </w:rPr>
        <w:t>外业生产+内业台账+安全文明+完成工作情况</w:t>
      </w:r>
      <w:r>
        <w:rPr>
          <w:rFonts w:hint="eastAsia" w:ascii="宋体" w:hAnsi="宋体" w:eastAsia="宋体" w:cs="宋体"/>
          <w:color w:val="auto"/>
          <w:sz w:val="28"/>
          <w:szCs w:val="28"/>
          <w:highlight w:val="none"/>
        </w:rPr>
        <w:t>。</w:t>
      </w:r>
    </w:p>
    <w:p w14:paraId="4522DA4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外业生产满分为50分，包含人工保洁、机械保洁、日常综合养护、应急处置；内业台账满分为10分，包含车辆、设备、油料、仓库等管理台账；安全文明为20分，包含按照养护规范开展相关作业；完成工作情况满分为20分，包含保洁效果、应急处置效果。</w:t>
      </w:r>
    </w:p>
    <w:p w14:paraId="374057A9">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四、考核要求</w:t>
      </w:r>
    </w:p>
    <w:p w14:paraId="6F405DF5">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（一）外业生产</w:t>
      </w:r>
    </w:p>
    <w:p w14:paraId="25E9CECB">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路面、桥面整洁无杂物；分隔带无杂物、土方平整；人行道板无杂草、积水、积泥；路边无明显石子、沙土；路肩、边坡、边沟、绿化带、林带范围内无杂物、垃圾、堆积物及种植物等；边沟（明、暗）无淤积、排水通畅；路肩垃圾桶周边干净整洁；土路肩、道口平整，无车辙印；路肩林带无新增种植物。</w:t>
      </w:r>
    </w:p>
    <w:p w14:paraId="102176EB">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2.清理、疏通中隔带排水槽、路肩泄水槽；路面、无积水；由于路肩土过高造成积水的，应开设排水沟。</w:t>
      </w:r>
    </w:p>
    <w:p w14:paraId="1698FACD">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3.桥梁锥坡及周边无明显杂物、杂草等；桥梁泄水孔畅通，桥面无积水，伸缩缝内干净无杂物堵塞；桥面无沉积沙土。</w:t>
      </w:r>
    </w:p>
    <w:p w14:paraId="24A56CC8">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4.里程碑、轮廓标、百米桩、警示桩、警示牌、桥墩柱、栏杆、防撞护栏等沿线安保设施应保持整洁；及时扶正歪倒安保设施；沿线设施上无小广告。</w:t>
      </w:r>
    </w:p>
    <w:p w14:paraId="6FE98B9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5.路面杂物应集中处理，不得随意抛洒。保洁员应充分使用保洁车辆，务必做到垃圾装车运走。</w:t>
      </w:r>
    </w:p>
    <w:p w14:paraId="20BACF66">
      <w:pPr>
        <w:pStyle w:val="428"/>
        <w:tabs>
          <w:tab w:val="left" w:pos="1442"/>
        </w:tabs>
        <w:spacing w:line="57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6.每周保洁频率不得低于项目需求清单中所列次数及里程。</w:t>
      </w:r>
    </w:p>
    <w:p w14:paraId="58676CD5">
      <w:pPr>
        <w:pStyle w:val="428"/>
        <w:tabs>
          <w:tab w:val="left" w:pos="1442"/>
        </w:tabs>
        <w:spacing w:line="57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7.日常综合养护，如沥青路面坑槽修补、波浪、局部龟裂、啃边、唧浆等病害处理。</w:t>
      </w:r>
    </w:p>
    <w:p w14:paraId="0A380D1F">
      <w:pPr>
        <w:pStyle w:val="428"/>
        <w:tabs>
          <w:tab w:val="left" w:pos="1442"/>
        </w:tabs>
        <w:spacing w:line="57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8.应急处置，按要求清理现场油污、淤积物、事故碎片、倒伏设施等；暴雨积水、冰雪、台风等恶劣天气，按预案完成排水、除冰、清障，及时恢复道路畅通。</w:t>
      </w:r>
    </w:p>
    <w:p w14:paraId="24DFFEF4">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（二）内业台账</w:t>
      </w:r>
    </w:p>
    <w:p w14:paraId="7A379785">
      <w:pPr>
        <w:pStyle w:val="428"/>
        <w:tabs>
          <w:tab w:val="left" w:pos="1442"/>
        </w:tabs>
        <w:spacing w:line="570" w:lineRule="exact"/>
        <w:ind w:firstLine="543" w:firstLineChars="194"/>
        <w:rPr>
          <w:color w:val="auto"/>
          <w:highlight w:val="none"/>
        </w:rPr>
      </w:pPr>
      <w:r>
        <w:rPr>
          <w:rFonts w:hint="eastAsia" w:ascii="宋体" w:hAnsi="宋体" w:eastAsia="宋体" w:cs="宋体"/>
          <w:color w:val="auto"/>
          <w:sz w:val="28"/>
          <w:szCs w:val="28"/>
          <w:highlight w:val="none"/>
        </w:rPr>
        <w:t>1、</w:t>
      </w:r>
      <w:r>
        <w:rPr>
          <w:rFonts w:hint="eastAsia"/>
          <w:color w:val="auto"/>
          <w:highlight w:val="none"/>
        </w:rPr>
        <w:t>车辆管理制度及相关台帐：</w:t>
      </w:r>
    </w:p>
    <w:p w14:paraId="2E353155">
      <w:pPr>
        <w:pStyle w:val="428"/>
        <w:tabs>
          <w:tab w:val="left" w:pos="1442"/>
        </w:tabs>
        <w:spacing w:line="570" w:lineRule="exact"/>
        <w:ind w:firstLine="620" w:firstLineChars="194"/>
        <w:rPr>
          <w:color w:val="auto"/>
          <w:highlight w:val="none"/>
        </w:rPr>
      </w:pPr>
      <w:r>
        <w:rPr>
          <w:rFonts w:hint="eastAsia"/>
          <w:color w:val="auto"/>
          <w:highlight w:val="none"/>
        </w:rPr>
        <w:t>建立完善车辆管理制度，规范车辆使用、停放、维保、用油管理，据实建立车辆使用、维保、油料等全套台账，资料完整、账实一致。</w:t>
      </w:r>
    </w:p>
    <w:p w14:paraId="092A1D73">
      <w:pPr>
        <w:pStyle w:val="428"/>
        <w:tabs>
          <w:tab w:val="left" w:pos="1442"/>
        </w:tabs>
        <w:spacing w:line="570" w:lineRule="exact"/>
        <w:ind w:firstLine="620" w:firstLineChars="194"/>
        <w:rPr>
          <w:color w:val="auto"/>
          <w:highlight w:val="none"/>
        </w:rPr>
      </w:pPr>
      <w:r>
        <w:rPr>
          <w:rFonts w:hint="eastAsia"/>
          <w:color w:val="auto"/>
          <w:highlight w:val="none"/>
        </w:rPr>
        <w:t>2、设备管理制度及台帐：</w:t>
      </w:r>
    </w:p>
    <w:p w14:paraId="228F10AD">
      <w:pPr>
        <w:pStyle w:val="428"/>
        <w:tabs>
          <w:tab w:val="left" w:pos="1442"/>
        </w:tabs>
        <w:spacing w:line="570" w:lineRule="exact"/>
        <w:ind w:firstLine="620" w:firstLineChars="194"/>
        <w:rPr>
          <w:color w:val="auto"/>
          <w:highlight w:val="none"/>
        </w:rPr>
      </w:pPr>
      <w:r>
        <w:rPr>
          <w:rFonts w:hint="eastAsia"/>
          <w:color w:val="auto"/>
          <w:highlight w:val="none"/>
        </w:rPr>
        <w:t>建立设备管理制度，落实设备存放、日常保养、故障报修管理，完善设备入库、保养、检修使用台账</w:t>
      </w:r>
    </w:p>
    <w:p w14:paraId="640D290B">
      <w:pPr>
        <w:pStyle w:val="428"/>
        <w:tabs>
          <w:tab w:val="left" w:pos="1442"/>
        </w:tabs>
        <w:spacing w:line="570" w:lineRule="exact"/>
        <w:ind w:firstLine="620" w:firstLineChars="194"/>
        <w:rPr>
          <w:color w:val="auto"/>
          <w:highlight w:val="none"/>
        </w:rPr>
      </w:pPr>
      <w:r>
        <w:rPr>
          <w:rFonts w:hint="eastAsia"/>
          <w:color w:val="auto"/>
          <w:highlight w:val="none"/>
        </w:rPr>
        <w:t>3、物资管理制度及台帐：</w:t>
      </w:r>
    </w:p>
    <w:p w14:paraId="0B017ED7">
      <w:pPr>
        <w:pStyle w:val="428"/>
        <w:tabs>
          <w:tab w:val="left" w:pos="1442"/>
        </w:tabs>
        <w:spacing w:line="570" w:lineRule="exact"/>
        <w:ind w:firstLine="620" w:firstLineChars="194"/>
        <w:rPr>
          <w:color w:val="auto"/>
          <w:highlight w:val="none"/>
        </w:rPr>
      </w:pPr>
      <w:r>
        <w:rPr>
          <w:rFonts w:hint="eastAsia"/>
          <w:color w:val="auto"/>
          <w:highlight w:val="none"/>
        </w:rPr>
        <w:t>建立物资仓储管理制度，仓库合理分区、物资摆放整齐；汽油储存不大于 60 公升且定点存放，落实物资出入库领用登记并建立台账。</w:t>
      </w:r>
    </w:p>
    <w:p w14:paraId="496CC0D7">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（三）安全文明</w:t>
      </w:r>
    </w:p>
    <w:p w14:paraId="14CDF63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1.落实安全生产制度，狠抓安全文明生产的现场管理，作业现场必须按规定设置各类标志、标牌，夜间无法恢复通行的须增设明显的安全标志，作业人员要求统一穿着安全服，无安全责任事故发生。</w:t>
      </w:r>
    </w:p>
    <w:p w14:paraId="3AB5C8B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2.及时清除作业过程中产生的废渣，不弃于路肩或绿化带内。</w:t>
      </w:r>
    </w:p>
    <w:p w14:paraId="0001F9E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3.每个月组织开展不少于1次安全会议，并形成书面材料归档；每月开展不少于1次专项整治自查自纠，并且做好台账资料。</w:t>
      </w:r>
    </w:p>
    <w:p w14:paraId="63E0B7D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4.现场作业时，现场安全设施摆放参照《公路养护安全作业规程》JTG H30-2015执行；配备专职安全管理人员；特种作业人员应持证上岗；按照相关规定做好备案工作。</w:t>
      </w:r>
    </w:p>
    <w:p w14:paraId="3EFC8E7D">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（四）完成工作情况</w:t>
      </w:r>
    </w:p>
    <w:p w14:paraId="379416F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1.按时限要求完成养护管理系统中的任务单，防止出现处置超时事件，来电来函任务完成后应及时向公路中心汇报。</w:t>
      </w:r>
    </w:p>
    <w:p w14:paraId="760BDF95">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2.服务单位应避免自身原因，导致被上级部门养护检查考核扣分。</w:t>
      </w:r>
    </w:p>
    <w:p w14:paraId="093B240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3.种植物、堆积物等信息及时上报；道路、桥梁、沿线设施等损坏及时上报；整改通报提出的问题回复及时、完整、真实；计量上报及时。</w:t>
      </w:r>
    </w:p>
    <w:p w14:paraId="6D60449D">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4.建立快速反应机制，明确应急处置队伍、救援设备、物资保障等内容。</w:t>
      </w:r>
    </w:p>
    <w:p w14:paraId="27B5797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5.组织开展突发事件、防台、防汛、除冰雪等知识培训和应急预案学习，熟悉流程和操作规范，对抢险救援人员进行设备操作技能培训。</w:t>
      </w:r>
    </w:p>
    <w:p w14:paraId="0A4FF620">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五、考核标准</w:t>
      </w:r>
    </w:p>
    <w:p w14:paraId="3E2C6051">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（一）外业生产（50分）</w:t>
      </w:r>
    </w:p>
    <w:p w14:paraId="6513E02A">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1.路面、路基</w:t>
      </w:r>
    </w:p>
    <w:p w14:paraId="40546E9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1.1路面、桥面、有明显连续白色垃圾、杂物等，发现一处扣1分。</w:t>
      </w:r>
    </w:p>
    <w:p w14:paraId="6DAD470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1.2分隔带端头、分隔带内有砼块、石子等堆积，发现一处扣1分；分隔带内由于车祸或其他原因导致土方高低不平、杂物和油污存留，未及时平整、清理的，发现一处扣1分。</w:t>
      </w:r>
    </w:p>
    <w:p w14:paraId="55047DF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1.3平石、人行道道板有杂草的，发现一处扣1分；路边及平石有明显沙土的，每500m扣1分；道口路面不洁净的，发现一处扣1分。</w:t>
      </w:r>
    </w:p>
    <w:p w14:paraId="205018B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1.4路肩、边坡、绿化带、林带范围内有明显成片白色垃圾、堆积物（作业人员能够独立清除的堆积物）等，发现一处扣1分；路肩垃圾桶周边有明显成片白色垃圾、堆积物的，发现一处扣1分；路肩有砼块、砖块、石块等未清除的，发现一处扣1。</w:t>
      </w:r>
    </w:p>
    <w:p w14:paraId="0FA7FFD3">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1.5沿线非经常损坏的土路肩、道口，未及时整修的，发现一处扣1分；经常性损坏的土路肩、道口，采取有效措施进行整修的，发现一处加1分。</w:t>
      </w:r>
    </w:p>
    <w:p w14:paraId="4A5353A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1.6路肩林带内有新增种植物，未及时制止清除的，发现一处扣1分。</w:t>
      </w:r>
    </w:p>
    <w:p w14:paraId="731A239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1.7机械清扫路段，清扫作业未按作业要求安排机械化作业，机械化清扫不规范的，发现一次扣1分。</w:t>
      </w:r>
    </w:p>
    <w:p w14:paraId="304BBA1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1.8道路沿线防护栏清洗不干净，发现一次扣1分。</w:t>
      </w:r>
    </w:p>
    <w:p w14:paraId="2FBF903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2.排水设施</w:t>
      </w:r>
    </w:p>
    <w:p w14:paraId="21FA3BF7">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2.1分隔带排水槽、泄水槽、泄水孔等堵塞或有杂物的，发现一处扣1分。</w:t>
      </w:r>
    </w:p>
    <w:p w14:paraId="44169FF3">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2.2雨后路面有明显积水的，发现一处扣1分，未及时清理导致积泥的，酌情扣1~3分。</w:t>
      </w:r>
    </w:p>
    <w:p w14:paraId="1423BAC4">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2.3路肩边沟有杂物、高草、沉土未清除，每500米扣1分。</w:t>
      </w:r>
    </w:p>
    <w:p w14:paraId="44352BED">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2.4路肩土高于路面造成积水，未开设排水沟的，发现一处扣1分。</w:t>
      </w:r>
    </w:p>
    <w:p w14:paraId="6F74922B">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3.桥梁</w:t>
      </w:r>
    </w:p>
    <w:p w14:paraId="63DAC78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3.1桥梁伸缩缝未清理，堵塞卡死的，视情况扣1~5分。</w:t>
      </w:r>
    </w:p>
    <w:p w14:paraId="481664F8">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3.2桥梁锥坡及周边有明显杂物、杂草等，发现一座扣1分。</w:t>
      </w:r>
    </w:p>
    <w:p w14:paraId="1C2FB2AA">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3.3桥面两侧有沙土沉积的，发现一座扣1分。</w:t>
      </w:r>
    </w:p>
    <w:p w14:paraId="5C10087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3.4桥梁泄水口有积泥的，酌情扣1~3分。</w:t>
      </w:r>
    </w:p>
    <w:p w14:paraId="0A554E3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4.沿线设施</w:t>
      </w:r>
    </w:p>
    <w:p w14:paraId="4C752996">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4.1里程碑、轮廓标、百米桩、警示桩、警示牌、桥墩柱、栏杆、防撞护栏等沿线设施每周根据具体情况开展不少于1次的保洁，雨后应及时开展沿线设施保洁工作，如发现沿线设施有明显未擦洗的，视情况扣1~3分。</w:t>
      </w:r>
    </w:p>
    <w:p w14:paraId="41A1818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4.2沿线设施未及时扶正的，视情况扣1~3分。</w:t>
      </w:r>
    </w:p>
    <w:p w14:paraId="57A62195">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4.3沿线设施小广告未清除，视情况扣1~3分。</w:t>
      </w:r>
    </w:p>
    <w:p w14:paraId="78EBF51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5.日常综合养护：作业期间未按照规定的技术标准、工艺进行养护作业，发现一次扣2分。</w:t>
      </w:r>
    </w:p>
    <w:p w14:paraId="2645B32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6.路面污染、事故碎片、倒伏设施未清理到位，每次扣1分，严重阻碍通行未及时处置扣2分；暴雨积水、冰雪、台风等恶劣天气，未按预案完成排水、除冰、清障，道路未及时保通，每次扣1分，造成长时间拥堵扣2分；现场油污、淤积物未彻底清理，遗留安全隐患，每处扣1分。</w:t>
      </w:r>
    </w:p>
    <w:p w14:paraId="73BA1A53">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（二）内业台账（10分）</w:t>
      </w:r>
    </w:p>
    <w:p w14:paraId="5B03F4F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1、车辆管理制度及相关台帐</w:t>
      </w:r>
    </w:p>
    <w:p w14:paraId="24CD997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1.1 未制定甲供车辆管理制度，扣 3 分；制度内容缺项，每项扣 1 分。</w:t>
      </w:r>
    </w:p>
    <w:p w14:paraId="4B1BAA58">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1.2 无甲供车辆使用、维保、油耗台账，缺一类台账扣 2 分；单条记录缺失扣 0.5 分。</w:t>
      </w:r>
    </w:p>
    <w:p w14:paraId="724F76A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1.3 甲供车辆转借、挪作非养护用途，一台次扣 3 分。</w:t>
      </w:r>
    </w:p>
    <w:p w14:paraId="0C6842B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2、设备管理制度及台帐</w:t>
      </w:r>
    </w:p>
    <w:p w14:paraId="7A55DBB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2.1 未制定设备管理制度，扣 3 分；制度不完善酌情扣分。</w:t>
      </w:r>
    </w:p>
    <w:p w14:paraId="49F5F91A">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2.2 缺少甲供设备入库、维保、故障台账，缺一类扣 2 分；无维保记录每台扣 1 分。</w:t>
      </w:r>
    </w:p>
    <w:p w14:paraId="6EB5E1E5">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2.3 设备随意堆放、疏于管护，每台扣 1 分。</w:t>
      </w:r>
    </w:p>
    <w:p w14:paraId="6BCA4DBA">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2.4 甲供设备故障逾期未报修，每台扣 2 分。</w:t>
      </w:r>
    </w:p>
    <w:p w14:paraId="340CC4E7">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3、物资管理制度及台帐</w:t>
      </w:r>
    </w:p>
    <w:p w14:paraId="34E3F5C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3.1 无物资仓储管理制度，扣 3 分。</w:t>
      </w:r>
    </w:p>
    <w:p w14:paraId="1DA54D81">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3.2 仓库未分区、物料摆放杂乱，一处扣 1 分。</w:t>
      </w:r>
    </w:p>
    <w:p w14:paraId="0D07008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3.3 汽油存放超 60 公升或未在指定位置存放，一次扣 5 分。</w:t>
      </w:r>
    </w:p>
    <w:p w14:paraId="2C40C2F3">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3.4 应急物资储备数量不足，一类扣 2 分。</w:t>
      </w:r>
    </w:p>
    <w:p w14:paraId="27A787A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3.5 甲供物资出入库无登记领用签字，单笔扣 0.5 分。</w:t>
      </w:r>
    </w:p>
    <w:p w14:paraId="204DFEA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3.6 甲供物资私自挪用、流失，查实一次扣 3 分。</w:t>
      </w:r>
    </w:p>
    <w:p w14:paraId="3448A390">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（三）安全文明（20分）</w:t>
      </w:r>
    </w:p>
    <w:p w14:paraId="33071560">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1.服务单位应定期开展保洁员培训与工作总结会议，如未按照要求制定培训计划或未定期召开会议的将视情况扣1~2分。</w:t>
      </w:r>
    </w:p>
    <w:p w14:paraId="0CE1F524">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2.没有为上岗工作的作业人员购买保险的，扣5分/次，并同时要求服务单位立即购买保险。</w:t>
      </w:r>
    </w:p>
    <w:p w14:paraId="2BF8F4D2">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3.作业人员，未按规定着装及佩戴防护装具的，发现一次扣1分。</w:t>
      </w:r>
    </w:p>
    <w:p w14:paraId="39E95DEB">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4.清扫车作业人员不文明作业，未采取有效措施减少扬尘、噪音、污水等问题，作业不规范造成二次污染和发生扰民现象的，发现一次扣1分。</w:t>
      </w:r>
    </w:p>
    <w:p w14:paraId="7BF25E9E">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5.清扫出来的垃圾随意弃于路肩或绿化带内，造成二次污染，发现一次扣1分。</w:t>
      </w:r>
    </w:p>
    <w:p w14:paraId="569100CB">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6.保洁车外部脏乱，清扫出的垃圾未用保洁车转运，发现一次扣1分；保洁车维护不及时，使用状况不佳，带病上路的，发现一次扣1分。</w:t>
      </w:r>
    </w:p>
    <w:p w14:paraId="4FCF503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7.处理沥青路面坑槽等病害时，未严格按照规定摆放警示标识，发现一次扣2分；</w:t>
      </w:r>
    </w:p>
    <w:p w14:paraId="6C157929">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（四）完成工作情况（20分）</w:t>
      </w:r>
    </w:p>
    <w:p w14:paraId="15508EA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1.发现经常有抛洒滴漏的道口或无法直接清除的种植物、堆积物等应及时上报，未上报、上报不及时的扣1分；</w:t>
      </w:r>
    </w:p>
    <w:p w14:paraId="03F2C0D2">
      <w:pPr>
        <w:pStyle w:val="428"/>
        <w:tabs>
          <w:tab w:val="left" w:pos="1442"/>
        </w:tabs>
        <w:spacing w:line="57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2.整改通报发出后，应在5天内回复，整改回复未说明整改措施、完成时间及回复缺少影像资料的扣1分；</w:t>
      </w:r>
    </w:p>
    <w:p w14:paraId="78330584">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3.突发事件处置发生后应在7天内上报，每月计量应在下月的10日前上报，如有超时上报现象扣1分。</w:t>
      </w:r>
    </w:p>
    <w:p w14:paraId="7561E7FA">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4.每月考核发现的问题，应在当月整改完成，问题整改完成率低于90%的视情况扣1~5分；对于整改通报中多次（2次及以上）提出的问题未整改的，扣5分。</w:t>
      </w:r>
    </w:p>
    <w:p w14:paraId="241D2B1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5.对经常污染的路段应重点保洁，保洁效果差的扣1~2分。</w:t>
      </w:r>
    </w:p>
    <w:p w14:paraId="1BF7A25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6.日常工作中受到投诉举报且事实成立的，视情况扣3~5分。</w:t>
      </w:r>
    </w:p>
    <w:p w14:paraId="62EF2ADF">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7.未按要求完成每年2次应急演练，缺1次扣2分，未开展扣3分；演练方案脱离本项目实际、无针对性，每次扣1分；演练无记录、无影像资料、无总结整改，每次扣1分。</w:t>
      </w:r>
    </w:p>
    <w:p w14:paraId="523E009C">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8.突发事件（交通事故、路面污染、障碍物、恶劣天气等）处置，在接令后30分钟内未响应出动，每次扣1分，超过1小时未抵达现场扣2分；</w:t>
      </w:r>
    </w:p>
    <w:p w14:paraId="460C7993">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9.应急基地夜间值班不足2人、恶劣天气未按要求增派值班人员，每次扣2分；值班人员脱岗、失联扣2分；瞒报、迟报导致处置延误扣2分。</w:t>
      </w:r>
    </w:p>
    <w:p w14:paraId="72F8BD5A">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六、考核结果与服务费结算</w:t>
      </w:r>
    </w:p>
    <w:p w14:paraId="20E05C3D">
      <w:pPr>
        <w:pStyle w:val="428"/>
        <w:tabs>
          <w:tab w:val="left" w:pos="1442"/>
        </w:tabs>
        <w:spacing w:line="570" w:lineRule="exact"/>
        <w:ind w:firstLine="543" w:firstLineChars="194"/>
        <w:rPr>
          <w:color w:val="auto"/>
          <w:highlight w:val="none"/>
        </w:rPr>
      </w:pPr>
      <w:r>
        <w:rPr>
          <w:rFonts w:hint="eastAsia" w:ascii="宋体" w:hAnsi="宋体" w:eastAsia="宋体" w:cs="宋体"/>
          <w:color w:val="auto"/>
          <w:sz w:val="28"/>
          <w:szCs w:val="28"/>
          <w:highlight w:val="none"/>
        </w:rPr>
        <w:t>月度考核最终得分≥85分，全额结算当月服务费；月度考核最终得分70-84分，每低1分扣减当月服务费5000元；月度考核最终得分60-69分，每低1分扣减当月服务费10000元；月度考核最终得分＜60分，扣减当月服务费50%；连续2个月得分＜60分，太仓市交通运输局有权解除服务合同，并追究违约责任。</w:t>
      </w:r>
    </w:p>
    <w:p w14:paraId="500444F2">
      <w:pPr>
        <w:pStyle w:val="428"/>
        <w:tabs>
          <w:tab w:val="left" w:pos="1442"/>
        </w:tabs>
        <w:spacing w:line="570" w:lineRule="exact"/>
        <w:ind w:firstLine="320" w:firstLineChars="100"/>
        <w:rPr>
          <w:rFonts w:ascii="宋体" w:hAnsi="宋体" w:eastAsia="宋体" w:cs="宋体"/>
          <w:b/>
          <w:bCs/>
          <w:color w:val="auto"/>
          <w:sz w:val="28"/>
          <w:szCs w:val="28"/>
          <w:highlight w:val="none"/>
        </w:rPr>
      </w:pPr>
      <w:r>
        <w:rPr>
          <w:rFonts w:hint="eastAsia"/>
          <w:color w:val="auto"/>
          <w:highlight w:val="none"/>
        </w:rPr>
        <w:t>七、考核扣分附表</w:t>
      </w:r>
    </w:p>
    <w:tbl>
      <w:tblPr>
        <w:tblStyle w:val="4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712"/>
        <w:gridCol w:w="834"/>
        <w:gridCol w:w="6508"/>
        <w:gridCol w:w="946"/>
      </w:tblGrid>
      <w:tr w14:paraId="367C8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blHeader/>
          <w:jc w:val="center"/>
        </w:trPr>
        <w:tc>
          <w:tcPr>
            <w:tcW w:w="712" w:type="dxa"/>
            <w:tcBorders>
              <w:tl2br w:val="nil"/>
              <w:tr2bl w:val="nil"/>
            </w:tcBorders>
            <w:shd w:val="clear" w:color="auto" w:fill="FFFFFF" w:themeFill="background1"/>
            <w:noWrap/>
            <w:tcMar>
              <w:top w:w="-1" w:type="dxa"/>
              <w:left w:w="-1" w:type="dxa"/>
              <w:bottom w:w="-1" w:type="dxa"/>
              <w:right w:w="-1" w:type="dxa"/>
            </w:tcMar>
            <w:vAlign w:val="bottom"/>
          </w:tcPr>
          <w:p w14:paraId="7AB7A68D">
            <w:pPr>
              <w:snapToGrid w:val="0"/>
              <w:spacing w:line="360" w:lineRule="auto"/>
              <w:jc w:val="center"/>
              <w:rPr>
                <w:rFonts w:hAnsi="宋体"/>
                <w:b/>
                <w:bCs/>
                <w:color w:val="auto"/>
                <w:sz w:val="21"/>
                <w:szCs w:val="21"/>
                <w:highlight w:val="none"/>
              </w:rPr>
            </w:pPr>
            <w:r>
              <w:rPr>
                <w:rFonts w:hint="eastAsia" w:hAnsi="宋体"/>
                <w:b/>
                <w:bCs/>
                <w:color w:val="auto"/>
                <w:sz w:val="21"/>
                <w:szCs w:val="21"/>
                <w:highlight w:val="none"/>
              </w:rPr>
              <w:t>大类</w:t>
            </w:r>
          </w:p>
        </w:tc>
        <w:tc>
          <w:tcPr>
            <w:tcW w:w="834" w:type="dxa"/>
            <w:tcBorders>
              <w:tl2br w:val="nil"/>
              <w:tr2bl w:val="nil"/>
            </w:tcBorders>
            <w:shd w:val="clear" w:color="auto" w:fill="FFFFFF" w:themeFill="background1"/>
            <w:noWrap/>
            <w:tcMar>
              <w:top w:w="-1" w:type="dxa"/>
              <w:left w:w="-1" w:type="dxa"/>
              <w:bottom w:w="-1" w:type="dxa"/>
              <w:right w:w="-1" w:type="dxa"/>
            </w:tcMar>
            <w:vAlign w:val="bottom"/>
          </w:tcPr>
          <w:p w14:paraId="11FDEE24">
            <w:pPr>
              <w:snapToGrid w:val="0"/>
              <w:spacing w:line="360" w:lineRule="auto"/>
              <w:jc w:val="center"/>
              <w:rPr>
                <w:rFonts w:hAnsi="宋体"/>
                <w:b/>
                <w:bCs/>
                <w:color w:val="auto"/>
                <w:sz w:val="21"/>
                <w:szCs w:val="21"/>
                <w:highlight w:val="none"/>
              </w:rPr>
            </w:pPr>
            <w:r>
              <w:rPr>
                <w:rFonts w:hint="eastAsia" w:hAnsi="宋体"/>
                <w:b/>
                <w:bCs/>
                <w:color w:val="auto"/>
                <w:sz w:val="21"/>
                <w:szCs w:val="21"/>
                <w:highlight w:val="none"/>
              </w:rPr>
              <w:t>子类</w:t>
            </w:r>
          </w:p>
        </w:tc>
        <w:tc>
          <w:tcPr>
            <w:tcW w:w="6508" w:type="dxa"/>
            <w:tcBorders>
              <w:tl2br w:val="nil"/>
              <w:tr2bl w:val="nil"/>
            </w:tcBorders>
            <w:shd w:val="clear" w:color="auto" w:fill="FFFFFF" w:themeFill="background1"/>
            <w:noWrap/>
            <w:tcMar>
              <w:top w:w="-1" w:type="dxa"/>
              <w:left w:w="-1" w:type="dxa"/>
              <w:bottom w:w="-1" w:type="dxa"/>
              <w:right w:w="-1" w:type="dxa"/>
            </w:tcMar>
            <w:vAlign w:val="bottom"/>
          </w:tcPr>
          <w:p w14:paraId="4F96BD6D">
            <w:pPr>
              <w:snapToGrid w:val="0"/>
              <w:spacing w:line="360" w:lineRule="auto"/>
              <w:jc w:val="center"/>
              <w:rPr>
                <w:rFonts w:hAnsi="宋体"/>
                <w:b/>
                <w:bCs/>
                <w:color w:val="auto"/>
                <w:sz w:val="21"/>
                <w:szCs w:val="21"/>
                <w:highlight w:val="none"/>
              </w:rPr>
            </w:pPr>
            <w:r>
              <w:rPr>
                <w:rFonts w:hint="eastAsia" w:hAnsi="宋体"/>
                <w:b/>
                <w:bCs/>
                <w:color w:val="auto"/>
                <w:sz w:val="21"/>
                <w:szCs w:val="21"/>
                <w:highlight w:val="none"/>
              </w:rPr>
              <w:t>考核内容及扣分标准</w:t>
            </w:r>
          </w:p>
        </w:tc>
        <w:tc>
          <w:tcPr>
            <w:tcW w:w="946" w:type="dxa"/>
            <w:tcBorders>
              <w:tl2br w:val="nil"/>
              <w:tr2bl w:val="nil"/>
            </w:tcBorders>
            <w:shd w:val="clear" w:color="auto" w:fill="FFFFFF" w:themeFill="background1"/>
            <w:noWrap/>
            <w:tcMar>
              <w:top w:w="-1" w:type="dxa"/>
              <w:left w:w="-1" w:type="dxa"/>
              <w:bottom w:w="-1" w:type="dxa"/>
              <w:right w:w="-1" w:type="dxa"/>
            </w:tcMar>
            <w:vAlign w:val="bottom"/>
          </w:tcPr>
          <w:p w14:paraId="4A9B138F">
            <w:pPr>
              <w:snapToGrid w:val="0"/>
              <w:spacing w:line="360" w:lineRule="auto"/>
              <w:jc w:val="center"/>
              <w:rPr>
                <w:rFonts w:hAnsi="宋体"/>
                <w:b/>
                <w:bCs/>
                <w:color w:val="auto"/>
                <w:sz w:val="21"/>
                <w:szCs w:val="21"/>
                <w:highlight w:val="none"/>
              </w:rPr>
            </w:pPr>
            <w:r>
              <w:rPr>
                <w:rFonts w:hint="eastAsia" w:hAnsi="宋体"/>
                <w:b/>
                <w:bCs/>
                <w:color w:val="auto"/>
                <w:sz w:val="21"/>
                <w:szCs w:val="21"/>
                <w:highlight w:val="none"/>
              </w:rPr>
              <w:t>扣分</w:t>
            </w:r>
          </w:p>
        </w:tc>
      </w:tr>
      <w:tr w14:paraId="5545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712"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0E4FBA4">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外业生产</w:t>
            </w:r>
            <w:r>
              <w:rPr>
                <w:rFonts w:hint="eastAsia" w:hAnsi="宋体"/>
                <w:bCs/>
                <w:color w:val="auto"/>
                <w:sz w:val="21"/>
                <w:szCs w:val="21"/>
                <w:highlight w:val="none"/>
              </w:rPr>
              <w:br w:type="textWrapping"/>
            </w:r>
            <w:r>
              <w:rPr>
                <w:rFonts w:hint="eastAsia" w:hAnsi="宋体"/>
                <w:bCs/>
                <w:color w:val="auto"/>
                <w:sz w:val="21"/>
                <w:szCs w:val="21"/>
                <w:highlight w:val="none"/>
              </w:rPr>
              <w:t>50分</w:t>
            </w: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60371AA">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路面</w:t>
            </w:r>
            <w:r>
              <w:rPr>
                <w:rFonts w:hint="eastAsia" w:hAnsi="宋体"/>
                <w:bCs/>
                <w:color w:val="auto"/>
                <w:sz w:val="21"/>
                <w:szCs w:val="21"/>
                <w:highlight w:val="none"/>
              </w:rPr>
              <w:br w:type="textWrapping"/>
            </w:r>
            <w:r>
              <w:rPr>
                <w:rFonts w:hint="eastAsia" w:hAnsi="宋体"/>
                <w:bCs/>
                <w:color w:val="auto"/>
                <w:sz w:val="21"/>
                <w:szCs w:val="21"/>
                <w:highlight w:val="none"/>
              </w:rPr>
              <w:t>路基</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78662AC">
            <w:pPr>
              <w:snapToGrid w:val="0"/>
              <w:spacing w:line="360" w:lineRule="auto"/>
              <w:rPr>
                <w:rFonts w:hAnsi="宋体"/>
                <w:bCs/>
                <w:color w:val="auto"/>
                <w:sz w:val="21"/>
                <w:szCs w:val="21"/>
                <w:highlight w:val="none"/>
              </w:rPr>
            </w:pPr>
            <w:r>
              <w:rPr>
                <w:rFonts w:hint="eastAsia" w:hAnsi="宋体"/>
                <w:bCs/>
                <w:color w:val="auto"/>
                <w:sz w:val="21"/>
                <w:szCs w:val="21"/>
                <w:highlight w:val="none"/>
              </w:rPr>
              <w:t>路面、桥面有明显连续白色垃圾、杂物等。发现一处扣1分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69432CF1">
            <w:pPr>
              <w:snapToGrid w:val="0"/>
              <w:spacing w:line="360" w:lineRule="auto"/>
              <w:rPr>
                <w:rFonts w:hAnsi="宋体"/>
                <w:bCs/>
                <w:color w:val="auto"/>
                <w:sz w:val="21"/>
                <w:szCs w:val="21"/>
                <w:highlight w:val="none"/>
              </w:rPr>
            </w:pPr>
          </w:p>
        </w:tc>
      </w:tr>
      <w:tr w14:paraId="4D0E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EF0A694">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ADDDCFA">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6223126">
            <w:pPr>
              <w:snapToGrid w:val="0"/>
              <w:spacing w:line="360" w:lineRule="auto"/>
              <w:rPr>
                <w:rFonts w:hAnsi="宋体"/>
                <w:bCs/>
                <w:color w:val="auto"/>
                <w:sz w:val="21"/>
                <w:szCs w:val="21"/>
                <w:highlight w:val="none"/>
              </w:rPr>
            </w:pPr>
            <w:r>
              <w:rPr>
                <w:rFonts w:hint="eastAsia" w:hAnsi="宋体"/>
                <w:bCs/>
                <w:color w:val="auto"/>
                <w:sz w:val="21"/>
                <w:szCs w:val="21"/>
                <w:highlight w:val="none"/>
              </w:rPr>
              <w:t>分隔带端头、分隔带内有砼块、石子等堆积。发现一处扣1分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F8F1404">
            <w:pPr>
              <w:snapToGrid w:val="0"/>
              <w:spacing w:line="360" w:lineRule="auto"/>
              <w:rPr>
                <w:rFonts w:hAnsi="宋体"/>
                <w:bCs/>
                <w:color w:val="auto"/>
                <w:sz w:val="21"/>
                <w:szCs w:val="21"/>
                <w:highlight w:val="none"/>
              </w:rPr>
            </w:pPr>
          </w:p>
        </w:tc>
      </w:tr>
      <w:tr w14:paraId="30C7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B16128A">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F32149B">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391584D">
            <w:pPr>
              <w:snapToGrid w:val="0"/>
              <w:spacing w:line="360" w:lineRule="auto"/>
              <w:rPr>
                <w:rFonts w:hAnsi="宋体"/>
                <w:bCs/>
                <w:color w:val="auto"/>
                <w:sz w:val="21"/>
                <w:szCs w:val="21"/>
                <w:highlight w:val="none"/>
              </w:rPr>
            </w:pPr>
            <w:r>
              <w:rPr>
                <w:rFonts w:hint="eastAsia" w:hAnsi="宋体"/>
                <w:bCs/>
                <w:color w:val="auto"/>
                <w:sz w:val="21"/>
                <w:szCs w:val="21"/>
                <w:highlight w:val="none"/>
              </w:rPr>
              <w:t>分隔带内因车祸等原因导致土方高低不平、杂物和油污未及时平整清理。发现一处扣1分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2281EBC">
            <w:pPr>
              <w:snapToGrid w:val="0"/>
              <w:spacing w:line="360" w:lineRule="auto"/>
              <w:rPr>
                <w:rFonts w:hAnsi="宋体"/>
                <w:bCs/>
                <w:color w:val="auto"/>
                <w:sz w:val="21"/>
                <w:szCs w:val="21"/>
                <w:highlight w:val="none"/>
              </w:rPr>
            </w:pPr>
          </w:p>
        </w:tc>
      </w:tr>
      <w:tr w14:paraId="42652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46A406B">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16E78E3">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383671A">
            <w:pPr>
              <w:snapToGrid w:val="0"/>
              <w:spacing w:line="360" w:lineRule="auto"/>
              <w:rPr>
                <w:rFonts w:hAnsi="宋体"/>
                <w:bCs/>
                <w:color w:val="auto"/>
                <w:sz w:val="21"/>
                <w:szCs w:val="21"/>
                <w:highlight w:val="none"/>
              </w:rPr>
            </w:pPr>
            <w:r>
              <w:rPr>
                <w:rFonts w:hint="eastAsia" w:hAnsi="宋体"/>
                <w:bCs/>
                <w:color w:val="auto"/>
                <w:sz w:val="21"/>
                <w:szCs w:val="21"/>
                <w:highlight w:val="none"/>
              </w:rPr>
              <w:t>平石、人行道板有杂草；路边及平石有明显沙土（每500m）；道口路面不洁净。发现一处或每500m扣1分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54674AC">
            <w:pPr>
              <w:snapToGrid w:val="0"/>
              <w:spacing w:line="360" w:lineRule="auto"/>
              <w:rPr>
                <w:rFonts w:hAnsi="宋体"/>
                <w:bCs/>
                <w:color w:val="auto"/>
                <w:sz w:val="21"/>
                <w:szCs w:val="21"/>
                <w:highlight w:val="none"/>
              </w:rPr>
            </w:pPr>
          </w:p>
        </w:tc>
      </w:tr>
      <w:tr w14:paraId="6973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59B54E7">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91B5043">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596AE3E">
            <w:pPr>
              <w:snapToGrid w:val="0"/>
              <w:spacing w:line="360" w:lineRule="auto"/>
              <w:rPr>
                <w:rFonts w:hAnsi="宋体"/>
                <w:bCs/>
                <w:color w:val="auto"/>
                <w:sz w:val="21"/>
                <w:szCs w:val="21"/>
                <w:highlight w:val="none"/>
              </w:rPr>
            </w:pPr>
            <w:r>
              <w:rPr>
                <w:rFonts w:hint="eastAsia" w:hAnsi="宋体"/>
                <w:bCs/>
                <w:color w:val="auto"/>
                <w:sz w:val="21"/>
                <w:szCs w:val="21"/>
                <w:highlight w:val="none"/>
              </w:rPr>
              <w:t>路肩、边坡、绿化带、林带范围内有明显成片白色垃圾、堆积物；路肩垃圾桶周边有明显成片垃圾；路肩有砼块、砖块、石块等未清除。发现一处扣1分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EB458DF">
            <w:pPr>
              <w:snapToGrid w:val="0"/>
              <w:spacing w:line="360" w:lineRule="auto"/>
              <w:rPr>
                <w:rFonts w:hAnsi="宋体"/>
                <w:bCs/>
                <w:color w:val="auto"/>
                <w:sz w:val="21"/>
                <w:szCs w:val="21"/>
                <w:highlight w:val="none"/>
              </w:rPr>
            </w:pPr>
          </w:p>
        </w:tc>
      </w:tr>
      <w:tr w14:paraId="2F07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075F51F">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B7591A1">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6E0110F">
            <w:pPr>
              <w:snapToGrid w:val="0"/>
              <w:spacing w:line="360" w:lineRule="auto"/>
              <w:rPr>
                <w:rFonts w:hAnsi="宋体"/>
                <w:bCs/>
                <w:color w:val="auto"/>
                <w:sz w:val="21"/>
                <w:szCs w:val="21"/>
                <w:highlight w:val="none"/>
              </w:rPr>
            </w:pPr>
            <w:r>
              <w:rPr>
                <w:rFonts w:hint="eastAsia" w:hAnsi="宋体"/>
                <w:bCs/>
                <w:color w:val="auto"/>
                <w:sz w:val="21"/>
                <w:szCs w:val="21"/>
                <w:highlight w:val="none"/>
              </w:rPr>
              <w:t>非经常损坏的土路肩、道口，未及时整修。发现一处扣1分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CB6B8EA">
            <w:pPr>
              <w:snapToGrid w:val="0"/>
              <w:spacing w:line="360" w:lineRule="auto"/>
              <w:rPr>
                <w:rFonts w:hAnsi="宋体"/>
                <w:bCs/>
                <w:color w:val="auto"/>
                <w:sz w:val="21"/>
                <w:szCs w:val="21"/>
                <w:highlight w:val="none"/>
              </w:rPr>
            </w:pPr>
          </w:p>
        </w:tc>
      </w:tr>
      <w:tr w14:paraId="44C1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64617B4">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DA28AB0">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3D22AE7">
            <w:pPr>
              <w:snapToGrid w:val="0"/>
              <w:spacing w:line="360" w:lineRule="auto"/>
              <w:rPr>
                <w:rFonts w:hAnsi="宋体"/>
                <w:bCs/>
                <w:color w:val="auto"/>
                <w:sz w:val="21"/>
                <w:szCs w:val="21"/>
                <w:highlight w:val="none"/>
              </w:rPr>
            </w:pPr>
            <w:r>
              <w:rPr>
                <w:rFonts w:hint="eastAsia" w:hAnsi="宋体"/>
                <w:bCs/>
                <w:color w:val="auto"/>
                <w:sz w:val="21"/>
                <w:szCs w:val="21"/>
                <w:highlight w:val="none"/>
              </w:rPr>
              <w:t>路肩林带内有新增种植物，未及时制止清除。发现一处扣1分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FF97965">
            <w:pPr>
              <w:snapToGrid w:val="0"/>
              <w:spacing w:line="360" w:lineRule="auto"/>
              <w:rPr>
                <w:rFonts w:hAnsi="宋体"/>
                <w:bCs/>
                <w:color w:val="auto"/>
                <w:sz w:val="21"/>
                <w:szCs w:val="21"/>
                <w:highlight w:val="none"/>
              </w:rPr>
            </w:pPr>
          </w:p>
        </w:tc>
      </w:tr>
      <w:tr w14:paraId="41FD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5F102E9">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458F83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7D0E0BCC">
            <w:pPr>
              <w:snapToGrid w:val="0"/>
              <w:spacing w:line="360" w:lineRule="auto"/>
              <w:rPr>
                <w:rFonts w:hAnsi="宋体"/>
                <w:bCs/>
                <w:color w:val="auto"/>
                <w:sz w:val="21"/>
                <w:szCs w:val="21"/>
                <w:highlight w:val="none"/>
              </w:rPr>
            </w:pPr>
            <w:r>
              <w:rPr>
                <w:rFonts w:hint="eastAsia" w:hAnsi="宋体"/>
                <w:bCs/>
                <w:color w:val="auto"/>
                <w:sz w:val="21"/>
                <w:szCs w:val="21"/>
                <w:highlight w:val="none"/>
              </w:rPr>
              <w:t>机械清扫路段，未按作业要求安排机械化作业或清扫不规范；道路沿线防护栏清洗不干净。发现一次扣1分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85809FA">
            <w:pPr>
              <w:snapToGrid w:val="0"/>
              <w:spacing w:line="360" w:lineRule="auto"/>
              <w:rPr>
                <w:rFonts w:hAnsi="宋体"/>
                <w:bCs/>
                <w:color w:val="auto"/>
                <w:sz w:val="21"/>
                <w:szCs w:val="21"/>
                <w:highlight w:val="none"/>
              </w:rPr>
            </w:pPr>
          </w:p>
        </w:tc>
      </w:tr>
      <w:tr w14:paraId="3B64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B1E5DFB">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2BE3373">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排水</w:t>
            </w:r>
            <w:r>
              <w:rPr>
                <w:rFonts w:hint="eastAsia" w:hAnsi="宋体"/>
                <w:bCs/>
                <w:color w:val="auto"/>
                <w:sz w:val="21"/>
                <w:szCs w:val="21"/>
                <w:highlight w:val="none"/>
              </w:rPr>
              <w:br w:type="textWrapping"/>
            </w:r>
            <w:r>
              <w:rPr>
                <w:rFonts w:hint="eastAsia" w:hAnsi="宋体"/>
                <w:bCs/>
                <w:color w:val="auto"/>
                <w:sz w:val="21"/>
                <w:szCs w:val="21"/>
                <w:highlight w:val="none"/>
              </w:rPr>
              <w:t>设施</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FE9496F">
            <w:pPr>
              <w:snapToGrid w:val="0"/>
              <w:spacing w:line="360" w:lineRule="auto"/>
              <w:rPr>
                <w:rFonts w:hAnsi="宋体"/>
                <w:bCs/>
                <w:color w:val="auto"/>
                <w:sz w:val="21"/>
                <w:szCs w:val="21"/>
                <w:highlight w:val="none"/>
              </w:rPr>
            </w:pPr>
            <w:r>
              <w:rPr>
                <w:rFonts w:hint="eastAsia" w:hAnsi="宋体"/>
                <w:bCs/>
                <w:color w:val="auto"/>
                <w:sz w:val="21"/>
                <w:szCs w:val="21"/>
                <w:highlight w:val="none"/>
              </w:rPr>
              <w:t>分隔带排水槽、泄水槽、泄水孔等堵塞或有杂物。发现一处扣1分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34D361E">
            <w:pPr>
              <w:snapToGrid w:val="0"/>
              <w:spacing w:line="360" w:lineRule="auto"/>
              <w:rPr>
                <w:rFonts w:hAnsi="宋体"/>
                <w:bCs/>
                <w:color w:val="auto"/>
                <w:sz w:val="21"/>
                <w:szCs w:val="21"/>
                <w:highlight w:val="none"/>
              </w:rPr>
            </w:pPr>
          </w:p>
        </w:tc>
      </w:tr>
      <w:tr w14:paraId="5D8A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2B4CB0C">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CA33915">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044505F">
            <w:pPr>
              <w:snapToGrid w:val="0"/>
              <w:spacing w:line="360" w:lineRule="auto"/>
              <w:rPr>
                <w:rFonts w:hAnsi="宋体"/>
                <w:bCs/>
                <w:color w:val="auto"/>
                <w:sz w:val="21"/>
                <w:szCs w:val="21"/>
                <w:highlight w:val="none"/>
              </w:rPr>
            </w:pPr>
            <w:r>
              <w:rPr>
                <w:rFonts w:hint="eastAsia" w:hAnsi="宋体"/>
                <w:bCs/>
                <w:color w:val="auto"/>
                <w:sz w:val="21"/>
                <w:szCs w:val="21"/>
                <w:highlight w:val="none"/>
              </w:rPr>
              <w:t>雨后路面有明显积水。发现一处扣1分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F29BDD3">
            <w:pPr>
              <w:snapToGrid w:val="0"/>
              <w:spacing w:line="360" w:lineRule="auto"/>
              <w:rPr>
                <w:rFonts w:hAnsi="宋体"/>
                <w:bCs/>
                <w:color w:val="auto"/>
                <w:sz w:val="21"/>
                <w:szCs w:val="21"/>
                <w:highlight w:val="none"/>
              </w:rPr>
            </w:pPr>
          </w:p>
        </w:tc>
      </w:tr>
      <w:tr w14:paraId="5966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3D01DE8">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D4C3544">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76ABCEFD">
            <w:pPr>
              <w:snapToGrid w:val="0"/>
              <w:spacing w:line="360" w:lineRule="auto"/>
              <w:rPr>
                <w:rFonts w:hAnsi="宋体"/>
                <w:bCs/>
                <w:color w:val="auto"/>
                <w:sz w:val="21"/>
                <w:szCs w:val="21"/>
                <w:highlight w:val="none"/>
              </w:rPr>
            </w:pPr>
            <w:r>
              <w:rPr>
                <w:rFonts w:hint="eastAsia" w:hAnsi="宋体"/>
                <w:bCs/>
                <w:color w:val="auto"/>
                <w:sz w:val="21"/>
                <w:szCs w:val="21"/>
                <w:highlight w:val="none"/>
              </w:rPr>
              <w:t>雨后积水未及时清理导致积泥。酌情扣1～3分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BE18850">
            <w:pPr>
              <w:snapToGrid w:val="0"/>
              <w:spacing w:line="360" w:lineRule="auto"/>
              <w:rPr>
                <w:rFonts w:hAnsi="宋体"/>
                <w:bCs/>
                <w:color w:val="auto"/>
                <w:sz w:val="21"/>
                <w:szCs w:val="21"/>
                <w:highlight w:val="none"/>
              </w:rPr>
            </w:pPr>
          </w:p>
        </w:tc>
      </w:tr>
      <w:tr w14:paraId="181F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772CDF2">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F477CC5">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40BBE26">
            <w:pPr>
              <w:snapToGrid w:val="0"/>
              <w:spacing w:line="360" w:lineRule="auto"/>
              <w:rPr>
                <w:rFonts w:hAnsi="宋体"/>
                <w:bCs/>
                <w:color w:val="auto"/>
                <w:sz w:val="21"/>
                <w:szCs w:val="21"/>
                <w:highlight w:val="none"/>
              </w:rPr>
            </w:pPr>
            <w:r>
              <w:rPr>
                <w:rFonts w:hint="eastAsia" w:hAnsi="宋体"/>
                <w:bCs/>
                <w:color w:val="auto"/>
                <w:sz w:val="21"/>
                <w:szCs w:val="21"/>
                <w:highlight w:val="none"/>
              </w:rPr>
              <w:t>路肩边沟有杂物、高草、沉土未清除（每500m）；路肩土高于路面造成积水未开设排水沟。每500m扣1分或发现一处扣1分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92A0DAD">
            <w:pPr>
              <w:snapToGrid w:val="0"/>
              <w:spacing w:line="360" w:lineRule="auto"/>
              <w:rPr>
                <w:rFonts w:hAnsi="宋体"/>
                <w:bCs/>
                <w:color w:val="auto"/>
                <w:sz w:val="21"/>
                <w:szCs w:val="21"/>
                <w:highlight w:val="none"/>
              </w:rPr>
            </w:pPr>
          </w:p>
        </w:tc>
      </w:tr>
      <w:tr w14:paraId="35E6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12CE85B">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9229489">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桥梁</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724D6EB2">
            <w:pPr>
              <w:snapToGrid w:val="0"/>
              <w:spacing w:line="360" w:lineRule="auto"/>
              <w:rPr>
                <w:rFonts w:hAnsi="宋体"/>
                <w:bCs/>
                <w:color w:val="auto"/>
                <w:sz w:val="21"/>
                <w:szCs w:val="21"/>
                <w:highlight w:val="none"/>
              </w:rPr>
            </w:pPr>
            <w:r>
              <w:rPr>
                <w:rFonts w:hint="eastAsia" w:hAnsi="宋体"/>
                <w:bCs/>
                <w:color w:val="auto"/>
                <w:sz w:val="21"/>
                <w:szCs w:val="21"/>
                <w:highlight w:val="none"/>
              </w:rPr>
              <w:t>桥梁伸缩缝未清理，堵塞卡死。视情况扣1～5分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2D0ECBE6">
            <w:pPr>
              <w:snapToGrid w:val="0"/>
              <w:spacing w:line="360" w:lineRule="auto"/>
              <w:rPr>
                <w:rFonts w:hAnsi="宋体"/>
                <w:bCs/>
                <w:color w:val="auto"/>
                <w:sz w:val="21"/>
                <w:szCs w:val="21"/>
                <w:highlight w:val="none"/>
              </w:rPr>
            </w:pPr>
          </w:p>
        </w:tc>
      </w:tr>
      <w:tr w14:paraId="5143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3BDBFF1">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962962E">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D57DDB8">
            <w:pPr>
              <w:snapToGrid w:val="0"/>
              <w:spacing w:line="360" w:lineRule="auto"/>
              <w:rPr>
                <w:rFonts w:hAnsi="宋体"/>
                <w:bCs/>
                <w:color w:val="auto"/>
                <w:sz w:val="21"/>
                <w:szCs w:val="21"/>
                <w:highlight w:val="none"/>
              </w:rPr>
            </w:pPr>
            <w:r>
              <w:rPr>
                <w:rFonts w:hint="eastAsia" w:hAnsi="宋体"/>
                <w:bCs/>
                <w:color w:val="auto"/>
                <w:sz w:val="21"/>
                <w:szCs w:val="21"/>
                <w:highlight w:val="none"/>
              </w:rPr>
              <w:t>桥梁锥坡及周边有明显杂物、杂草等。发现一座扣1分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4186AB9">
            <w:pPr>
              <w:snapToGrid w:val="0"/>
              <w:spacing w:line="360" w:lineRule="auto"/>
              <w:rPr>
                <w:rFonts w:hAnsi="宋体"/>
                <w:bCs/>
                <w:color w:val="auto"/>
                <w:sz w:val="21"/>
                <w:szCs w:val="21"/>
                <w:highlight w:val="none"/>
              </w:rPr>
            </w:pPr>
          </w:p>
        </w:tc>
      </w:tr>
      <w:tr w14:paraId="666F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F1C5689">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6C4159F">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75CEB68C">
            <w:pPr>
              <w:snapToGrid w:val="0"/>
              <w:spacing w:line="360" w:lineRule="auto"/>
              <w:rPr>
                <w:rFonts w:hAnsi="宋体"/>
                <w:bCs/>
                <w:color w:val="auto"/>
                <w:sz w:val="21"/>
                <w:szCs w:val="21"/>
                <w:highlight w:val="none"/>
              </w:rPr>
            </w:pPr>
            <w:r>
              <w:rPr>
                <w:rFonts w:hint="eastAsia" w:hAnsi="宋体"/>
                <w:bCs/>
                <w:color w:val="auto"/>
                <w:sz w:val="21"/>
                <w:szCs w:val="21"/>
                <w:highlight w:val="none"/>
              </w:rPr>
              <w:t>桥面两侧有沙土沉积。发现一座扣1分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44539DE">
            <w:pPr>
              <w:snapToGrid w:val="0"/>
              <w:spacing w:line="360" w:lineRule="auto"/>
              <w:rPr>
                <w:rFonts w:hAnsi="宋体"/>
                <w:bCs/>
                <w:color w:val="auto"/>
                <w:sz w:val="21"/>
                <w:szCs w:val="21"/>
                <w:highlight w:val="none"/>
              </w:rPr>
            </w:pPr>
          </w:p>
        </w:tc>
      </w:tr>
      <w:tr w14:paraId="3D3AB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B371141">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B226ED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3376C41">
            <w:pPr>
              <w:snapToGrid w:val="0"/>
              <w:spacing w:line="360" w:lineRule="auto"/>
              <w:rPr>
                <w:rFonts w:hAnsi="宋体"/>
                <w:bCs/>
                <w:color w:val="auto"/>
                <w:sz w:val="21"/>
                <w:szCs w:val="21"/>
                <w:highlight w:val="none"/>
              </w:rPr>
            </w:pPr>
            <w:r>
              <w:rPr>
                <w:rFonts w:hint="eastAsia" w:hAnsi="宋体"/>
                <w:bCs/>
                <w:color w:val="auto"/>
                <w:sz w:val="21"/>
                <w:szCs w:val="21"/>
                <w:highlight w:val="none"/>
              </w:rPr>
              <w:t>桥梁泄水口有积泥。酌情扣1～3分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FE77B47">
            <w:pPr>
              <w:snapToGrid w:val="0"/>
              <w:spacing w:line="360" w:lineRule="auto"/>
              <w:rPr>
                <w:rFonts w:hAnsi="宋体"/>
                <w:bCs/>
                <w:color w:val="auto"/>
                <w:sz w:val="21"/>
                <w:szCs w:val="21"/>
                <w:highlight w:val="none"/>
              </w:rPr>
            </w:pPr>
          </w:p>
        </w:tc>
      </w:tr>
      <w:tr w14:paraId="6E51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039F4E1">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B83327A">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沿线</w:t>
            </w:r>
            <w:r>
              <w:rPr>
                <w:rFonts w:hint="eastAsia" w:hAnsi="宋体"/>
                <w:bCs/>
                <w:color w:val="auto"/>
                <w:sz w:val="21"/>
                <w:szCs w:val="21"/>
                <w:highlight w:val="none"/>
              </w:rPr>
              <w:br w:type="textWrapping"/>
            </w:r>
            <w:r>
              <w:rPr>
                <w:rFonts w:hint="eastAsia" w:hAnsi="宋体"/>
                <w:bCs/>
                <w:color w:val="auto"/>
                <w:sz w:val="21"/>
                <w:szCs w:val="21"/>
                <w:highlight w:val="none"/>
              </w:rPr>
              <w:t>设施</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129F044">
            <w:pPr>
              <w:snapToGrid w:val="0"/>
              <w:spacing w:line="360" w:lineRule="auto"/>
              <w:rPr>
                <w:rFonts w:hAnsi="宋体"/>
                <w:bCs/>
                <w:color w:val="auto"/>
                <w:sz w:val="21"/>
                <w:szCs w:val="21"/>
                <w:highlight w:val="none"/>
              </w:rPr>
            </w:pPr>
            <w:r>
              <w:rPr>
                <w:rFonts w:hint="eastAsia" w:hAnsi="宋体"/>
                <w:bCs/>
                <w:color w:val="auto"/>
                <w:sz w:val="21"/>
                <w:szCs w:val="21"/>
                <w:highlight w:val="none"/>
              </w:rPr>
              <w:t>里程碑、轮廓标、百米桩、警示桩、警示牌、桥墩柱、栏杆、防撞护栏等沿线设施有明显未擦洗（每周不少于1次保洁，雨后及时保洁）。视情况扣1～3分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6A68749D">
            <w:pPr>
              <w:snapToGrid w:val="0"/>
              <w:spacing w:line="360" w:lineRule="auto"/>
              <w:rPr>
                <w:rFonts w:hAnsi="宋体"/>
                <w:bCs/>
                <w:color w:val="auto"/>
                <w:sz w:val="21"/>
                <w:szCs w:val="21"/>
                <w:highlight w:val="none"/>
              </w:rPr>
            </w:pPr>
          </w:p>
        </w:tc>
      </w:tr>
      <w:tr w14:paraId="59E2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E59E57A">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AF5631C">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5D50EEC">
            <w:pPr>
              <w:snapToGrid w:val="0"/>
              <w:spacing w:line="360" w:lineRule="auto"/>
              <w:rPr>
                <w:rFonts w:hAnsi="宋体"/>
                <w:bCs/>
                <w:color w:val="auto"/>
                <w:sz w:val="21"/>
                <w:szCs w:val="21"/>
                <w:highlight w:val="none"/>
              </w:rPr>
            </w:pPr>
            <w:r>
              <w:rPr>
                <w:rFonts w:hint="eastAsia" w:hAnsi="宋体"/>
                <w:bCs/>
                <w:color w:val="auto"/>
                <w:sz w:val="21"/>
                <w:szCs w:val="21"/>
                <w:highlight w:val="none"/>
              </w:rPr>
              <w:t>沿线设施未及时扶正。视情况扣1～3分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0F02E0C">
            <w:pPr>
              <w:snapToGrid w:val="0"/>
              <w:spacing w:line="360" w:lineRule="auto"/>
              <w:rPr>
                <w:rFonts w:hAnsi="宋体"/>
                <w:bCs/>
                <w:color w:val="auto"/>
                <w:sz w:val="21"/>
                <w:szCs w:val="21"/>
                <w:highlight w:val="none"/>
              </w:rPr>
            </w:pPr>
          </w:p>
        </w:tc>
      </w:tr>
      <w:tr w14:paraId="5133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495F981">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33BD5F2">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EF5F146">
            <w:pPr>
              <w:snapToGrid w:val="0"/>
              <w:spacing w:line="360" w:lineRule="auto"/>
              <w:rPr>
                <w:rFonts w:hAnsi="宋体"/>
                <w:bCs/>
                <w:color w:val="auto"/>
                <w:sz w:val="21"/>
                <w:szCs w:val="21"/>
                <w:highlight w:val="none"/>
              </w:rPr>
            </w:pPr>
            <w:r>
              <w:rPr>
                <w:rFonts w:hint="eastAsia" w:hAnsi="宋体"/>
                <w:bCs/>
                <w:color w:val="auto"/>
                <w:sz w:val="21"/>
                <w:szCs w:val="21"/>
                <w:highlight w:val="none"/>
              </w:rPr>
              <w:t>沿线设施小广告未清除。视情况扣1～3分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DBADCE0">
            <w:pPr>
              <w:snapToGrid w:val="0"/>
              <w:spacing w:line="360" w:lineRule="auto"/>
              <w:rPr>
                <w:rFonts w:hAnsi="宋体"/>
                <w:bCs/>
                <w:color w:val="auto"/>
                <w:sz w:val="21"/>
                <w:szCs w:val="21"/>
                <w:highlight w:val="none"/>
              </w:rPr>
            </w:pPr>
          </w:p>
        </w:tc>
      </w:tr>
      <w:tr w14:paraId="4B8E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884C2AF">
            <w:pPr>
              <w:snapToGrid w:val="0"/>
              <w:spacing w:line="360" w:lineRule="auto"/>
              <w:jc w:val="center"/>
              <w:rPr>
                <w:rFonts w:hAnsi="宋体"/>
                <w:bCs/>
                <w:color w:val="auto"/>
                <w:sz w:val="21"/>
                <w:szCs w:val="21"/>
                <w:highlight w:val="none"/>
              </w:rPr>
            </w:pPr>
          </w:p>
        </w:tc>
        <w:tc>
          <w:tcPr>
            <w:tcW w:w="834" w:type="dxa"/>
            <w:tcBorders>
              <w:tl2br w:val="nil"/>
              <w:tr2bl w:val="nil"/>
            </w:tcBorders>
            <w:shd w:val="clear" w:color="auto" w:fill="FFFFFF" w:themeFill="background1"/>
            <w:noWrap/>
            <w:tcMar>
              <w:top w:w="-1" w:type="dxa"/>
              <w:left w:w="-1" w:type="dxa"/>
              <w:bottom w:w="-1" w:type="dxa"/>
              <w:right w:w="-1" w:type="dxa"/>
            </w:tcMar>
            <w:vAlign w:val="center"/>
          </w:tcPr>
          <w:p w14:paraId="011B05AF">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日常</w:t>
            </w:r>
            <w:r>
              <w:rPr>
                <w:rFonts w:hint="eastAsia" w:hAnsi="宋体"/>
                <w:bCs/>
                <w:color w:val="auto"/>
                <w:sz w:val="21"/>
                <w:szCs w:val="21"/>
                <w:highlight w:val="none"/>
              </w:rPr>
              <w:br w:type="textWrapping"/>
            </w:r>
            <w:r>
              <w:rPr>
                <w:rFonts w:hint="eastAsia" w:hAnsi="宋体"/>
                <w:bCs/>
                <w:color w:val="auto"/>
                <w:sz w:val="21"/>
                <w:szCs w:val="21"/>
                <w:highlight w:val="none"/>
              </w:rPr>
              <w:t>综合</w:t>
            </w:r>
            <w:r>
              <w:rPr>
                <w:rFonts w:hint="eastAsia" w:hAnsi="宋体"/>
                <w:bCs/>
                <w:color w:val="auto"/>
                <w:sz w:val="21"/>
                <w:szCs w:val="21"/>
                <w:highlight w:val="none"/>
              </w:rPr>
              <w:br w:type="textWrapping"/>
            </w:r>
            <w:r>
              <w:rPr>
                <w:rFonts w:hint="eastAsia" w:hAnsi="宋体"/>
                <w:bCs/>
                <w:color w:val="auto"/>
                <w:sz w:val="21"/>
                <w:szCs w:val="21"/>
                <w:highlight w:val="none"/>
              </w:rPr>
              <w:t>养护</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1B965A7">
            <w:pPr>
              <w:snapToGrid w:val="0"/>
              <w:spacing w:line="360" w:lineRule="auto"/>
              <w:rPr>
                <w:rFonts w:hAnsi="宋体"/>
                <w:bCs/>
                <w:color w:val="auto"/>
                <w:sz w:val="21"/>
                <w:szCs w:val="21"/>
                <w:highlight w:val="none"/>
              </w:rPr>
            </w:pPr>
            <w:r>
              <w:rPr>
                <w:rFonts w:hint="eastAsia" w:hAnsi="宋体"/>
                <w:bCs/>
                <w:color w:val="auto"/>
                <w:sz w:val="21"/>
                <w:szCs w:val="21"/>
                <w:highlight w:val="none"/>
              </w:rPr>
              <w:t>作业期间未按照规定的技术标准、工艺进行养护作业（含沥青路面坑槽修补、波浪、龟裂、啃边、唧浆等病害处理）。发现一次扣2分</w:t>
            </w:r>
          </w:p>
        </w:tc>
        <w:tc>
          <w:tcPr>
            <w:tcW w:w="946" w:type="dxa"/>
            <w:tcBorders>
              <w:tl2br w:val="nil"/>
              <w:tr2bl w:val="nil"/>
            </w:tcBorders>
            <w:shd w:val="clear" w:color="auto" w:fill="FFFFFF" w:themeFill="background1"/>
            <w:noWrap/>
            <w:tcMar>
              <w:top w:w="-1" w:type="dxa"/>
              <w:left w:w="-1" w:type="dxa"/>
              <w:bottom w:w="-1" w:type="dxa"/>
              <w:right w:w="-1" w:type="dxa"/>
            </w:tcMar>
            <w:vAlign w:val="center"/>
          </w:tcPr>
          <w:p w14:paraId="62F9B608">
            <w:pPr>
              <w:snapToGrid w:val="0"/>
              <w:spacing w:line="360" w:lineRule="auto"/>
              <w:rPr>
                <w:rFonts w:hAnsi="宋体"/>
                <w:bCs/>
                <w:color w:val="auto"/>
                <w:sz w:val="21"/>
                <w:szCs w:val="21"/>
                <w:highlight w:val="none"/>
              </w:rPr>
            </w:pPr>
          </w:p>
        </w:tc>
      </w:tr>
      <w:tr w14:paraId="030B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E11DA38">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3EAFEA35">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应急</w:t>
            </w:r>
            <w:r>
              <w:rPr>
                <w:rFonts w:hint="eastAsia" w:hAnsi="宋体"/>
                <w:bCs/>
                <w:color w:val="auto"/>
                <w:sz w:val="21"/>
                <w:szCs w:val="21"/>
                <w:highlight w:val="none"/>
              </w:rPr>
              <w:br w:type="textWrapping"/>
            </w:r>
            <w:r>
              <w:rPr>
                <w:rFonts w:hint="eastAsia" w:hAnsi="宋体"/>
                <w:bCs/>
                <w:color w:val="auto"/>
                <w:sz w:val="21"/>
                <w:szCs w:val="21"/>
                <w:highlight w:val="none"/>
              </w:rPr>
              <w:t>处置</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A361A54">
            <w:pPr>
              <w:snapToGrid w:val="0"/>
              <w:spacing w:line="360" w:lineRule="auto"/>
              <w:rPr>
                <w:rFonts w:hAnsi="宋体"/>
                <w:bCs/>
                <w:color w:val="auto"/>
                <w:sz w:val="21"/>
                <w:szCs w:val="21"/>
                <w:highlight w:val="none"/>
              </w:rPr>
            </w:pPr>
            <w:r>
              <w:rPr>
                <w:rFonts w:hint="eastAsia" w:hAnsi="宋体"/>
                <w:bCs/>
                <w:color w:val="auto"/>
                <w:sz w:val="21"/>
                <w:szCs w:val="21"/>
                <w:highlight w:val="none"/>
              </w:rPr>
              <w:t>路面污染、事故碎片、倒伏设施未清理到位。每次扣1分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6C44FAFC">
            <w:pPr>
              <w:snapToGrid w:val="0"/>
              <w:spacing w:line="360" w:lineRule="auto"/>
              <w:rPr>
                <w:rFonts w:hAnsi="宋体"/>
                <w:bCs/>
                <w:color w:val="auto"/>
                <w:sz w:val="21"/>
                <w:szCs w:val="21"/>
                <w:highlight w:val="none"/>
              </w:rPr>
            </w:pPr>
          </w:p>
        </w:tc>
      </w:tr>
      <w:tr w14:paraId="4BD5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F649348">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90C7323">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ED1CE93">
            <w:pPr>
              <w:snapToGrid w:val="0"/>
              <w:spacing w:line="360" w:lineRule="auto"/>
              <w:rPr>
                <w:rFonts w:hAnsi="宋体"/>
                <w:bCs/>
                <w:color w:val="auto"/>
                <w:sz w:val="21"/>
                <w:szCs w:val="21"/>
                <w:highlight w:val="none"/>
              </w:rPr>
            </w:pPr>
            <w:r>
              <w:rPr>
                <w:rFonts w:hint="eastAsia" w:hAnsi="宋体"/>
                <w:bCs/>
                <w:color w:val="auto"/>
                <w:sz w:val="21"/>
                <w:szCs w:val="21"/>
                <w:highlight w:val="none"/>
              </w:rPr>
              <w:t>路面污染、事故碎片等严重阻碍通行未及时处置。每次扣2分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454170F">
            <w:pPr>
              <w:snapToGrid w:val="0"/>
              <w:spacing w:line="360" w:lineRule="auto"/>
              <w:rPr>
                <w:rFonts w:hAnsi="宋体"/>
                <w:bCs/>
                <w:color w:val="auto"/>
                <w:sz w:val="21"/>
                <w:szCs w:val="21"/>
                <w:highlight w:val="none"/>
              </w:rPr>
            </w:pPr>
          </w:p>
        </w:tc>
      </w:tr>
      <w:tr w14:paraId="3756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F847334">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32DDE98">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E89037C">
            <w:pPr>
              <w:snapToGrid w:val="0"/>
              <w:spacing w:line="360" w:lineRule="auto"/>
              <w:rPr>
                <w:rFonts w:hAnsi="宋体"/>
                <w:bCs/>
                <w:color w:val="auto"/>
                <w:sz w:val="21"/>
                <w:szCs w:val="21"/>
                <w:highlight w:val="none"/>
              </w:rPr>
            </w:pPr>
            <w:r>
              <w:rPr>
                <w:rFonts w:hint="eastAsia" w:hAnsi="宋体"/>
                <w:bCs/>
                <w:color w:val="auto"/>
                <w:sz w:val="21"/>
                <w:szCs w:val="21"/>
                <w:highlight w:val="none"/>
              </w:rPr>
              <w:t>暴雨积水、冰雪、台风等恶劣天气未按预案完成排水、除冰、清障，未及时保通。每次扣1分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036007A">
            <w:pPr>
              <w:snapToGrid w:val="0"/>
              <w:spacing w:line="360" w:lineRule="auto"/>
              <w:rPr>
                <w:rFonts w:hAnsi="宋体"/>
                <w:bCs/>
                <w:color w:val="auto"/>
                <w:sz w:val="21"/>
                <w:szCs w:val="21"/>
                <w:highlight w:val="none"/>
              </w:rPr>
            </w:pPr>
          </w:p>
        </w:tc>
      </w:tr>
      <w:tr w14:paraId="12679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0FB353B">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5AD590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76236383">
            <w:pPr>
              <w:snapToGrid w:val="0"/>
              <w:spacing w:line="360" w:lineRule="auto"/>
              <w:rPr>
                <w:rFonts w:hAnsi="宋体"/>
                <w:bCs/>
                <w:color w:val="auto"/>
                <w:sz w:val="21"/>
                <w:szCs w:val="21"/>
                <w:highlight w:val="none"/>
              </w:rPr>
            </w:pPr>
            <w:r>
              <w:rPr>
                <w:rFonts w:hint="eastAsia" w:hAnsi="宋体"/>
                <w:bCs/>
                <w:color w:val="auto"/>
                <w:sz w:val="21"/>
                <w:szCs w:val="21"/>
                <w:highlight w:val="none"/>
              </w:rPr>
              <w:t>恶劣天气处置造成长时间拥堵。每次扣2分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C1EEA7C">
            <w:pPr>
              <w:snapToGrid w:val="0"/>
              <w:spacing w:line="360" w:lineRule="auto"/>
              <w:rPr>
                <w:rFonts w:hAnsi="宋体"/>
                <w:bCs/>
                <w:color w:val="auto"/>
                <w:sz w:val="21"/>
                <w:szCs w:val="21"/>
                <w:highlight w:val="none"/>
              </w:rPr>
            </w:pPr>
          </w:p>
        </w:tc>
      </w:tr>
      <w:tr w14:paraId="2B2D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BDD8178">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6F364E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2A2FB10">
            <w:pPr>
              <w:snapToGrid w:val="0"/>
              <w:spacing w:line="360" w:lineRule="auto"/>
              <w:rPr>
                <w:rFonts w:hAnsi="宋体"/>
                <w:bCs/>
                <w:color w:val="auto"/>
                <w:sz w:val="21"/>
                <w:szCs w:val="21"/>
                <w:highlight w:val="none"/>
              </w:rPr>
            </w:pPr>
            <w:r>
              <w:rPr>
                <w:rFonts w:hint="eastAsia" w:hAnsi="宋体"/>
                <w:bCs/>
                <w:color w:val="auto"/>
                <w:sz w:val="21"/>
                <w:szCs w:val="21"/>
                <w:highlight w:val="none"/>
              </w:rPr>
              <w:t>现场油污、淤积物未彻底清理，遗留安全隐患。每处扣1分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2BD3213">
            <w:pPr>
              <w:snapToGrid w:val="0"/>
              <w:spacing w:line="360" w:lineRule="auto"/>
              <w:rPr>
                <w:rFonts w:hAnsi="宋体"/>
                <w:bCs/>
                <w:color w:val="auto"/>
                <w:sz w:val="21"/>
                <w:szCs w:val="21"/>
                <w:highlight w:val="none"/>
              </w:rPr>
            </w:pPr>
          </w:p>
        </w:tc>
      </w:tr>
      <w:tr w14:paraId="6F83B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6CAF474">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E53E3CF">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C3017DA">
            <w:pPr>
              <w:snapToGrid w:val="0"/>
              <w:spacing w:line="360" w:lineRule="auto"/>
              <w:rPr>
                <w:rFonts w:hAnsi="宋体"/>
                <w:bCs/>
                <w:color w:val="auto"/>
                <w:sz w:val="21"/>
                <w:szCs w:val="21"/>
                <w:highlight w:val="none"/>
              </w:rPr>
            </w:pPr>
            <w:r>
              <w:rPr>
                <w:rFonts w:hint="eastAsia" w:hAnsi="宋体"/>
                <w:bCs/>
                <w:color w:val="auto"/>
                <w:sz w:val="21"/>
                <w:szCs w:val="21"/>
                <w:highlight w:val="none"/>
              </w:rPr>
              <w:t>每周保洁频率低于项目需求清单中所列次数及里程。视情况扣3-5分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992D72A">
            <w:pPr>
              <w:snapToGrid w:val="0"/>
              <w:spacing w:line="360" w:lineRule="auto"/>
              <w:rPr>
                <w:rFonts w:hAnsi="宋体"/>
                <w:bCs/>
                <w:color w:val="auto"/>
                <w:sz w:val="21"/>
                <w:szCs w:val="21"/>
                <w:highlight w:val="none"/>
              </w:rPr>
            </w:pPr>
          </w:p>
        </w:tc>
      </w:tr>
      <w:tr w14:paraId="3720E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C404404">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内业台账</w:t>
            </w:r>
            <w:r>
              <w:rPr>
                <w:rFonts w:hint="eastAsia" w:hAnsi="宋体"/>
                <w:bCs/>
                <w:color w:val="auto"/>
                <w:sz w:val="21"/>
                <w:szCs w:val="21"/>
                <w:highlight w:val="none"/>
              </w:rPr>
              <w:br w:type="textWrapping"/>
            </w:r>
            <w:r>
              <w:rPr>
                <w:rFonts w:hint="eastAsia" w:hAnsi="宋体"/>
                <w:bCs/>
                <w:color w:val="auto"/>
                <w:sz w:val="21"/>
                <w:szCs w:val="21"/>
                <w:highlight w:val="none"/>
              </w:rPr>
              <w:t>10分</w:t>
            </w: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9DA6218">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车辆</w:t>
            </w:r>
            <w:r>
              <w:rPr>
                <w:rFonts w:hint="eastAsia" w:hAnsi="宋体"/>
                <w:bCs/>
                <w:color w:val="auto"/>
                <w:sz w:val="21"/>
                <w:szCs w:val="21"/>
                <w:highlight w:val="none"/>
              </w:rPr>
              <w:br w:type="textWrapping"/>
            </w:r>
            <w:r>
              <w:rPr>
                <w:rFonts w:hint="eastAsia" w:hAnsi="宋体"/>
                <w:bCs/>
                <w:color w:val="auto"/>
                <w:sz w:val="21"/>
                <w:szCs w:val="21"/>
                <w:highlight w:val="none"/>
              </w:rPr>
              <w:t>管理</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89EC845">
            <w:pPr>
              <w:snapToGrid w:val="0"/>
              <w:spacing w:line="360" w:lineRule="auto"/>
              <w:rPr>
                <w:rFonts w:hAnsi="宋体"/>
                <w:bCs/>
                <w:color w:val="auto"/>
                <w:sz w:val="21"/>
                <w:szCs w:val="21"/>
                <w:highlight w:val="none"/>
              </w:rPr>
            </w:pPr>
            <w:r>
              <w:rPr>
                <w:rFonts w:hint="eastAsia" w:hAnsi="宋体"/>
                <w:bCs/>
                <w:color w:val="auto"/>
                <w:sz w:val="21"/>
                <w:szCs w:val="21"/>
                <w:highlight w:val="none"/>
              </w:rPr>
              <w:t>未制定甲供车辆管理制度。扣3分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22DCFBFB">
            <w:pPr>
              <w:snapToGrid w:val="0"/>
              <w:spacing w:line="360" w:lineRule="auto"/>
              <w:rPr>
                <w:rFonts w:hAnsi="宋体"/>
                <w:bCs/>
                <w:color w:val="auto"/>
                <w:sz w:val="21"/>
                <w:szCs w:val="21"/>
                <w:highlight w:val="none"/>
              </w:rPr>
            </w:pPr>
          </w:p>
        </w:tc>
      </w:tr>
      <w:tr w14:paraId="1371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7F541B3">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284DED4">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719E67C">
            <w:pPr>
              <w:snapToGrid w:val="0"/>
              <w:spacing w:line="360" w:lineRule="auto"/>
              <w:rPr>
                <w:rFonts w:hAnsi="宋体"/>
                <w:bCs/>
                <w:color w:val="auto"/>
                <w:sz w:val="21"/>
                <w:szCs w:val="21"/>
                <w:highlight w:val="none"/>
              </w:rPr>
            </w:pPr>
            <w:r>
              <w:rPr>
                <w:rFonts w:hint="eastAsia" w:hAnsi="宋体"/>
                <w:bCs/>
                <w:color w:val="auto"/>
                <w:sz w:val="21"/>
                <w:szCs w:val="21"/>
                <w:highlight w:val="none"/>
              </w:rPr>
              <w:t>车辆管理制度内容缺项。每项扣1分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DF27F7B">
            <w:pPr>
              <w:snapToGrid w:val="0"/>
              <w:spacing w:line="360" w:lineRule="auto"/>
              <w:rPr>
                <w:rFonts w:hAnsi="宋体"/>
                <w:bCs/>
                <w:color w:val="auto"/>
                <w:sz w:val="21"/>
                <w:szCs w:val="21"/>
                <w:highlight w:val="none"/>
              </w:rPr>
            </w:pPr>
          </w:p>
        </w:tc>
      </w:tr>
      <w:tr w14:paraId="63EC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767C117">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8728E76">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1D4DE39">
            <w:pPr>
              <w:snapToGrid w:val="0"/>
              <w:spacing w:line="360" w:lineRule="auto"/>
              <w:rPr>
                <w:rFonts w:hAnsi="宋体"/>
                <w:bCs/>
                <w:color w:val="auto"/>
                <w:sz w:val="21"/>
                <w:szCs w:val="21"/>
                <w:highlight w:val="none"/>
              </w:rPr>
            </w:pPr>
            <w:r>
              <w:rPr>
                <w:rFonts w:hint="eastAsia" w:hAnsi="宋体"/>
                <w:bCs/>
                <w:color w:val="auto"/>
                <w:sz w:val="21"/>
                <w:szCs w:val="21"/>
                <w:highlight w:val="none"/>
              </w:rPr>
              <w:t>无甲供车辆使用、维保、油耗台账（缺一类）；单条记录缺失；甲供车辆转借或挪作非养护用途。缺一类扣2分；单条缺失扣0.5分；转借或挪作非养护用途的一台次扣3分。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88D743E">
            <w:pPr>
              <w:snapToGrid w:val="0"/>
              <w:spacing w:line="360" w:lineRule="auto"/>
              <w:rPr>
                <w:rFonts w:hAnsi="宋体"/>
                <w:bCs/>
                <w:color w:val="auto"/>
                <w:sz w:val="21"/>
                <w:szCs w:val="21"/>
                <w:highlight w:val="none"/>
              </w:rPr>
            </w:pPr>
          </w:p>
        </w:tc>
      </w:tr>
      <w:tr w14:paraId="2B31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9013B8E">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728420A">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设备</w:t>
            </w:r>
            <w:r>
              <w:rPr>
                <w:rFonts w:hint="eastAsia" w:hAnsi="宋体"/>
                <w:bCs/>
                <w:color w:val="auto"/>
                <w:sz w:val="21"/>
                <w:szCs w:val="21"/>
                <w:highlight w:val="none"/>
              </w:rPr>
              <w:br w:type="textWrapping"/>
            </w:r>
            <w:r>
              <w:rPr>
                <w:rFonts w:hint="eastAsia" w:hAnsi="宋体"/>
                <w:bCs/>
                <w:color w:val="auto"/>
                <w:sz w:val="21"/>
                <w:szCs w:val="21"/>
                <w:highlight w:val="none"/>
              </w:rPr>
              <w:t>管理</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80B3845">
            <w:pPr>
              <w:snapToGrid w:val="0"/>
              <w:spacing w:line="360" w:lineRule="auto"/>
              <w:rPr>
                <w:rFonts w:hAnsi="宋体"/>
                <w:bCs/>
                <w:color w:val="auto"/>
                <w:sz w:val="21"/>
                <w:szCs w:val="21"/>
                <w:highlight w:val="none"/>
              </w:rPr>
            </w:pPr>
            <w:r>
              <w:rPr>
                <w:rFonts w:hint="eastAsia" w:hAnsi="宋体"/>
                <w:bCs/>
                <w:color w:val="auto"/>
                <w:sz w:val="21"/>
                <w:szCs w:val="21"/>
                <w:highlight w:val="none"/>
              </w:rPr>
              <w:t>未制定设备管理制度。扣3分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38A89209">
            <w:pPr>
              <w:snapToGrid w:val="0"/>
              <w:spacing w:line="360" w:lineRule="auto"/>
              <w:rPr>
                <w:rFonts w:hAnsi="宋体"/>
                <w:bCs/>
                <w:color w:val="auto"/>
                <w:sz w:val="21"/>
                <w:szCs w:val="21"/>
                <w:highlight w:val="none"/>
              </w:rPr>
            </w:pPr>
          </w:p>
        </w:tc>
      </w:tr>
      <w:tr w14:paraId="4430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D797FAD">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FD3F60A">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C94C196">
            <w:pPr>
              <w:snapToGrid w:val="0"/>
              <w:spacing w:line="360" w:lineRule="auto"/>
              <w:rPr>
                <w:rFonts w:hAnsi="宋体"/>
                <w:bCs/>
                <w:color w:val="auto"/>
                <w:sz w:val="21"/>
                <w:szCs w:val="21"/>
                <w:highlight w:val="none"/>
              </w:rPr>
            </w:pPr>
            <w:r>
              <w:rPr>
                <w:rFonts w:hint="eastAsia" w:hAnsi="宋体"/>
                <w:bCs/>
                <w:color w:val="auto"/>
                <w:sz w:val="21"/>
                <w:szCs w:val="21"/>
                <w:highlight w:val="none"/>
              </w:rPr>
              <w:t>设备管理制度不完善。酌情扣分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E1EB00A">
            <w:pPr>
              <w:snapToGrid w:val="0"/>
              <w:spacing w:line="360" w:lineRule="auto"/>
              <w:rPr>
                <w:rFonts w:hAnsi="宋体"/>
                <w:bCs/>
                <w:color w:val="auto"/>
                <w:sz w:val="21"/>
                <w:szCs w:val="21"/>
                <w:highlight w:val="none"/>
              </w:rPr>
            </w:pPr>
          </w:p>
        </w:tc>
      </w:tr>
      <w:tr w14:paraId="150E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14C7735">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90F811F">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E4248E9">
            <w:pPr>
              <w:snapToGrid w:val="0"/>
              <w:spacing w:line="360" w:lineRule="auto"/>
              <w:rPr>
                <w:rFonts w:hAnsi="宋体"/>
                <w:bCs/>
                <w:color w:val="auto"/>
                <w:sz w:val="21"/>
                <w:szCs w:val="21"/>
                <w:highlight w:val="none"/>
              </w:rPr>
            </w:pPr>
            <w:r>
              <w:rPr>
                <w:rFonts w:hint="eastAsia" w:hAnsi="宋体"/>
                <w:bCs/>
                <w:color w:val="auto"/>
                <w:sz w:val="21"/>
                <w:szCs w:val="21"/>
                <w:highlight w:val="none"/>
              </w:rPr>
              <w:t>缺少甲供设备入库、维保、故障台账（缺一类）；无维保记录（每台）；设备随意堆放、疏于管护（每台）。缺一类扣2分；每台扣1分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97FF5C5">
            <w:pPr>
              <w:snapToGrid w:val="0"/>
              <w:spacing w:line="360" w:lineRule="auto"/>
              <w:rPr>
                <w:rFonts w:hAnsi="宋体"/>
                <w:bCs/>
                <w:color w:val="auto"/>
                <w:sz w:val="21"/>
                <w:szCs w:val="21"/>
                <w:highlight w:val="none"/>
              </w:rPr>
            </w:pPr>
          </w:p>
        </w:tc>
      </w:tr>
      <w:tr w14:paraId="754B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BF4106F">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23244D2">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2854B3E">
            <w:pPr>
              <w:snapToGrid w:val="0"/>
              <w:spacing w:line="360" w:lineRule="auto"/>
              <w:rPr>
                <w:rFonts w:hAnsi="宋体"/>
                <w:bCs/>
                <w:color w:val="auto"/>
                <w:sz w:val="21"/>
                <w:szCs w:val="21"/>
                <w:highlight w:val="none"/>
              </w:rPr>
            </w:pPr>
            <w:r>
              <w:rPr>
                <w:rFonts w:hint="eastAsia" w:hAnsi="宋体"/>
                <w:bCs/>
                <w:color w:val="auto"/>
                <w:sz w:val="21"/>
                <w:szCs w:val="21"/>
                <w:highlight w:val="none"/>
              </w:rPr>
              <w:t>甲供设备故障逾期未报修。每台扣2分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F60A655">
            <w:pPr>
              <w:snapToGrid w:val="0"/>
              <w:spacing w:line="360" w:lineRule="auto"/>
              <w:rPr>
                <w:rFonts w:hAnsi="宋体"/>
                <w:bCs/>
                <w:color w:val="auto"/>
                <w:sz w:val="21"/>
                <w:szCs w:val="21"/>
                <w:highlight w:val="none"/>
              </w:rPr>
            </w:pPr>
          </w:p>
        </w:tc>
      </w:tr>
      <w:tr w14:paraId="00AF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412A744">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9A6A478">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物资</w:t>
            </w:r>
            <w:r>
              <w:rPr>
                <w:rFonts w:hint="eastAsia" w:hAnsi="宋体"/>
                <w:bCs/>
                <w:color w:val="auto"/>
                <w:sz w:val="21"/>
                <w:szCs w:val="21"/>
                <w:highlight w:val="none"/>
              </w:rPr>
              <w:br w:type="textWrapping"/>
            </w:r>
            <w:r>
              <w:rPr>
                <w:rFonts w:hint="eastAsia" w:hAnsi="宋体"/>
                <w:bCs/>
                <w:color w:val="auto"/>
                <w:sz w:val="21"/>
                <w:szCs w:val="21"/>
                <w:highlight w:val="none"/>
              </w:rPr>
              <w:t>管理</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B500EA8">
            <w:pPr>
              <w:snapToGrid w:val="0"/>
              <w:spacing w:line="360" w:lineRule="auto"/>
              <w:rPr>
                <w:rFonts w:hAnsi="宋体"/>
                <w:bCs/>
                <w:color w:val="auto"/>
                <w:sz w:val="21"/>
                <w:szCs w:val="21"/>
                <w:highlight w:val="none"/>
              </w:rPr>
            </w:pPr>
            <w:r>
              <w:rPr>
                <w:rFonts w:hint="eastAsia" w:hAnsi="宋体"/>
                <w:bCs/>
                <w:color w:val="auto"/>
                <w:sz w:val="21"/>
                <w:szCs w:val="21"/>
                <w:highlight w:val="none"/>
              </w:rPr>
              <w:t>无物资仓储管理制度。扣3分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1134F127">
            <w:pPr>
              <w:snapToGrid w:val="0"/>
              <w:spacing w:line="360" w:lineRule="auto"/>
              <w:rPr>
                <w:rFonts w:hAnsi="宋体"/>
                <w:bCs/>
                <w:color w:val="auto"/>
                <w:sz w:val="21"/>
                <w:szCs w:val="21"/>
                <w:highlight w:val="none"/>
              </w:rPr>
            </w:pPr>
          </w:p>
        </w:tc>
      </w:tr>
      <w:tr w14:paraId="27749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B1C42EF">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0FE5F50">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FEBAE8B">
            <w:pPr>
              <w:snapToGrid w:val="0"/>
              <w:spacing w:line="360" w:lineRule="auto"/>
              <w:rPr>
                <w:rFonts w:hAnsi="宋体"/>
                <w:bCs/>
                <w:color w:val="auto"/>
                <w:sz w:val="21"/>
                <w:szCs w:val="21"/>
                <w:highlight w:val="none"/>
              </w:rPr>
            </w:pPr>
            <w:r>
              <w:rPr>
                <w:rFonts w:hint="eastAsia" w:hAnsi="宋体"/>
                <w:bCs/>
                <w:color w:val="auto"/>
                <w:sz w:val="21"/>
                <w:szCs w:val="21"/>
                <w:highlight w:val="none"/>
              </w:rPr>
              <w:t>仓库未分区、物料摆放杂乱。一处扣1分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71A0459">
            <w:pPr>
              <w:snapToGrid w:val="0"/>
              <w:spacing w:line="360" w:lineRule="auto"/>
              <w:rPr>
                <w:rFonts w:hAnsi="宋体"/>
                <w:bCs/>
                <w:color w:val="auto"/>
                <w:sz w:val="21"/>
                <w:szCs w:val="21"/>
                <w:highlight w:val="none"/>
              </w:rPr>
            </w:pPr>
          </w:p>
        </w:tc>
      </w:tr>
      <w:tr w14:paraId="6A3B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0E15472">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6730EF9">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60233AB">
            <w:pPr>
              <w:snapToGrid w:val="0"/>
              <w:spacing w:line="360" w:lineRule="auto"/>
              <w:rPr>
                <w:rFonts w:hAnsi="宋体"/>
                <w:bCs/>
                <w:color w:val="auto"/>
                <w:sz w:val="21"/>
                <w:szCs w:val="21"/>
                <w:highlight w:val="none"/>
              </w:rPr>
            </w:pPr>
            <w:r>
              <w:rPr>
                <w:rFonts w:hint="eastAsia" w:hAnsi="宋体"/>
                <w:bCs/>
                <w:color w:val="auto"/>
                <w:sz w:val="21"/>
                <w:szCs w:val="21"/>
                <w:highlight w:val="none"/>
              </w:rPr>
              <w:t>汽油存放超60公升或未在指定位置存放。一次扣5分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419187D">
            <w:pPr>
              <w:snapToGrid w:val="0"/>
              <w:spacing w:line="360" w:lineRule="auto"/>
              <w:rPr>
                <w:rFonts w:hAnsi="宋体"/>
                <w:bCs/>
                <w:color w:val="auto"/>
                <w:sz w:val="21"/>
                <w:szCs w:val="21"/>
                <w:highlight w:val="none"/>
              </w:rPr>
            </w:pPr>
          </w:p>
        </w:tc>
      </w:tr>
      <w:tr w14:paraId="3C3B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95196AA">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7460091">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353194F">
            <w:pPr>
              <w:snapToGrid w:val="0"/>
              <w:spacing w:line="360" w:lineRule="auto"/>
              <w:rPr>
                <w:rFonts w:hAnsi="宋体"/>
                <w:bCs/>
                <w:color w:val="auto"/>
                <w:sz w:val="21"/>
                <w:szCs w:val="21"/>
                <w:highlight w:val="none"/>
              </w:rPr>
            </w:pPr>
            <w:r>
              <w:rPr>
                <w:rFonts w:hint="eastAsia" w:hAnsi="宋体"/>
                <w:bCs/>
                <w:color w:val="auto"/>
                <w:sz w:val="21"/>
                <w:szCs w:val="21"/>
                <w:highlight w:val="none"/>
              </w:rPr>
              <w:t>应急物资储备数量不足。一类扣2分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767FF27">
            <w:pPr>
              <w:snapToGrid w:val="0"/>
              <w:spacing w:line="360" w:lineRule="auto"/>
              <w:rPr>
                <w:rFonts w:hAnsi="宋体"/>
                <w:bCs/>
                <w:color w:val="auto"/>
                <w:sz w:val="21"/>
                <w:szCs w:val="21"/>
                <w:highlight w:val="none"/>
              </w:rPr>
            </w:pPr>
          </w:p>
        </w:tc>
      </w:tr>
      <w:tr w14:paraId="0687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BA8ED99">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A9649A0">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4FC9E75">
            <w:pPr>
              <w:snapToGrid w:val="0"/>
              <w:spacing w:line="360" w:lineRule="auto"/>
              <w:rPr>
                <w:rFonts w:hAnsi="宋体"/>
                <w:bCs/>
                <w:color w:val="auto"/>
                <w:sz w:val="21"/>
                <w:szCs w:val="21"/>
                <w:highlight w:val="none"/>
              </w:rPr>
            </w:pPr>
            <w:r>
              <w:rPr>
                <w:rFonts w:hint="eastAsia" w:hAnsi="宋体"/>
                <w:bCs/>
                <w:color w:val="auto"/>
                <w:sz w:val="21"/>
                <w:szCs w:val="21"/>
                <w:highlight w:val="none"/>
              </w:rPr>
              <w:t>甲供物资出入库无登记领用签字。单笔扣0.5分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54BF92E">
            <w:pPr>
              <w:snapToGrid w:val="0"/>
              <w:spacing w:line="360" w:lineRule="auto"/>
              <w:rPr>
                <w:rFonts w:hAnsi="宋体"/>
                <w:bCs/>
                <w:color w:val="auto"/>
                <w:sz w:val="21"/>
                <w:szCs w:val="21"/>
                <w:highlight w:val="none"/>
              </w:rPr>
            </w:pPr>
          </w:p>
        </w:tc>
      </w:tr>
      <w:tr w14:paraId="7997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8A86593">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903239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941CCE8">
            <w:pPr>
              <w:snapToGrid w:val="0"/>
              <w:spacing w:line="360" w:lineRule="auto"/>
              <w:rPr>
                <w:rFonts w:hAnsi="宋体"/>
                <w:bCs/>
                <w:color w:val="auto"/>
                <w:sz w:val="21"/>
                <w:szCs w:val="21"/>
                <w:highlight w:val="none"/>
              </w:rPr>
            </w:pPr>
            <w:r>
              <w:rPr>
                <w:rFonts w:hint="eastAsia" w:hAnsi="宋体"/>
                <w:bCs/>
                <w:color w:val="auto"/>
                <w:sz w:val="21"/>
                <w:szCs w:val="21"/>
                <w:highlight w:val="none"/>
              </w:rPr>
              <w:t>甲供物资私自挪用、流失。查实一次扣3分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60177CE">
            <w:pPr>
              <w:snapToGrid w:val="0"/>
              <w:spacing w:line="360" w:lineRule="auto"/>
              <w:rPr>
                <w:rFonts w:hAnsi="宋体"/>
                <w:bCs/>
                <w:color w:val="auto"/>
                <w:sz w:val="21"/>
                <w:szCs w:val="21"/>
                <w:highlight w:val="none"/>
              </w:rPr>
            </w:pPr>
          </w:p>
        </w:tc>
      </w:tr>
      <w:tr w14:paraId="4D56E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56FFF8B">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安全文明</w:t>
            </w:r>
            <w:r>
              <w:rPr>
                <w:rFonts w:hint="eastAsia" w:hAnsi="宋体"/>
                <w:bCs/>
                <w:color w:val="auto"/>
                <w:sz w:val="21"/>
                <w:szCs w:val="21"/>
                <w:highlight w:val="none"/>
              </w:rPr>
              <w:br w:type="textWrapping"/>
            </w:r>
            <w:r>
              <w:rPr>
                <w:rFonts w:hint="eastAsia" w:hAnsi="宋体"/>
                <w:bCs/>
                <w:color w:val="auto"/>
                <w:sz w:val="21"/>
                <w:szCs w:val="21"/>
                <w:highlight w:val="none"/>
              </w:rPr>
              <w:t>20分</w:t>
            </w: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75FEE89">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培训</w:t>
            </w:r>
            <w:r>
              <w:rPr>
                <w:rFonts w:hint="eastAsia" w:hAnsi="宋体"/>
                <w:bCs/>
                <w:color w:val="auto"/>
                <w:sz w:val="21"/>
                <w:szCs w:val="21"/>
                <w:highlight w:val="none"/>
              </w:rPr>
              <w:br w:type="textWrapping"/>
            </w:r>
            <w:r>
              <w:rPr>
                <w:rFonts w:hint="eastAsia" w:hAnsi="宋体"/>
                <w:bCs/>
                <w:color w:val="auto"/>
                <w:sz w:val="21"/>
                <w:szCs w:val="21"/>
                <w:highlight w:val="none"/>
              </w:rPr>
              <w:t>会议</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C482935">
            <w:pPr>
              <w:snapToGrid w:val="0"/>
              <w:spacing w:line="360" w:lineRule="auto"/>
              <w:rPr>
                <w:rFonts w:hAnsi="宋体"/>
                <w:bCs/>
                <w:color w:val="auto"/>
                <w:sz w:val="21"/>
                <w:szCs w:val="21"/>
                <w:highlight w:val="none"/>
              </w:rPr>
            </w:pPr>
            <w:r>
              <w:rPr>
                <w:rFonts w:hint="eastAsia" w:hAnsi="宋体"/>
                <w:bCs/>
                <w:color w:val="auto"/>
                <w:sz w:val="21"/>
                <w:szCs w:val="21"/>
                <w:highlight w:val="none"/>
              </w:rPr>
              <w:t>未按要求制定保洁员培训计划或未定期召开工作总结会议（每月不少于1次安全会议）。视情况扣1～2分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F4AF630">
            <w:pPr>
              <w:snapToGrid w:val="0"/>
              <w:spacing w:line="360" w:lineRule="auto"/>
              <w:rPr>
                <w:rFonts w:hAnsi="宋体"/>
                <w:bCs/>
                <w:color w:val="auto"/>
                <w:sz w:val="21"/>
                <w:szCs w:val="21"/>
                <w:highlight w:val="none"/>
              </w:rPr>
            </w:pPr>
          </w:p>
        </w:tc>
      </w:tr>
      <w:tr w14:paraId="62DD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A413130">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FCDE543">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3E83C37">
            <w:pPr>
              <w:snapToGrid w:val="0"/>
              <w:spacing w:line="360" w:lineRule="auto"/>
              <w:rPr>
                <w:rFonts w:hAnsi="宋体"/>
                <w:bCs/>
                <w:color w:val="auto"/>
                <w:sz w:val="21"/>
                <w:szCs w:val="21"/>
                <w:highlight w:val="none"/>
              </w:rPr>
            </w:pPr>
            <w:r>
              <w:rPr>
                <w:rFonts w:hint="eastAsia" w:hAnsi="宋体"/>
                <w:bCs/>
                <w:color w:val="auto"/>
                <w:sz w:val="21"/>
                <w:szCs w:val="21"/>
                <w:highlight w:val="none"/>
              </w:rPr>
              <w:t>每月未开展不少于1次专项整治自查自纠，或未做好台账资料。视情况扣1～2分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904AC03">
            <w:pPr>
              <w:snapToGrid w:val="0"/>
              <w:spacing w:line="360" w:lineRule="auto"/>
              <w:rPr>
                <w:rFonts w:hAnsi="宋体"/>
                <w:bCs/>
                <w:color w:val="auto"/>
                <w:sz w:val="21"/>
                <w:szCs w:val="21"/>
                <w:highlight w:val="none"/>
              </w:rPr>
            </w:pPr>
          </w:p>
        </w:tc>
      </w:tr>
      <w:tr w14:paraId="69AEB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9C698B9">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1351CE5">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人员</w:t>
            </w:r>
            <w:r>
              <w:rPr>
                <w:rFonts w:hint="eastAsia" w:hAnsi="宋体"/>
                <w:bCs/>
                <w:color w:val="auto"/>
                <w:sz w:val="21"/>
                <w:szCs w:val="21"/>
                <w:highlight w:val="none"/>
              </w:rPr>
              <w:br w:type="textWrapping"/>
            </w:r>
            <w:r>
              <w:rPr>
                <w:rFonts w:hint="eastAsia" w:hAnsi="宋体"/>
                <w:bCs/>
                <w:color w:val="auto"/>
                <w:sz w:val="21"/>
                <w:szCs w:val="21"/>
                <w:highlight w:val="none"/>
              </w:rPr>
              <w:t>管理</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FFB0D46">
            <w:pPr>
              <w:snapToGrid w:val="0"/>
              <w:spacing w:line="360" w:lineRule="auto"/>
              <w:rPr>
                <w:rFonts w:hAnsi="宋体"/>
                <w:bCs/>
                <w:color w:val="auto"/>
                <w:sz w:val="21"/>
                <w:szCs w:val="21"/>
                <w:highlight w:val="none"/>
              </w:rPr>
            </w:pPr>
            <w:r>
              <w:rPr>
                <w:rFonts w:hint="eastAsia" w:hAnsi="宋体"/>
                <w:bCs/>
                <w:color w:val="auto"/>
                <w:sz w:val="21"/>
                <w:szCs w:val="21"/>
                <w:highlight w:val="none"/>
              </w:rPr>
              <w:t>未为上岗工作的作业人员购买保险。扣5分/次（并立即整改）</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A0EF97B">
            <w:pPr>
              <w:snapToGrid w:val="0"/>
              <w:spacing w:line="360" w:lineRule="auto"/>
              <w:rPr>
                <w:rFonts w:hAnsi="宋体"/>
                <w:bCs/>
                <w:color w:val="auto"/>
                <w:sz w:val="21"/>
                <w:szCs w:val="21"/>
                <w:highlight w:val="none"/>
              </w:rPr>
            </w:pPr>
          </w:p>
        </w:tc>
      </w:tr>
      <w:tr w14:paraId="52021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1259606">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7C8FF76">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51A1790">
            <w:pPr>
              <w:snapToGrid w:val="0"/>
              <w:spacing w:line="360" w:lineRule="auto"/>
              <w:rPr>
                <w:rFonts w:hAnsi="宋体"/>
                <w:bCs/>
                <w:color w:val="auto"/>
                <w:sz w:val="21"/>
                <w:szCs w:val="21"/>
                <w:highlight w:val="none"/>
              </w:rPr>
            </w:pPr>
            <w:r>
              <w:rPr>
                <w:rFonts w:hint="eastAsia" w:hAnsi="宋体"/>
                <w:bCs/>
                <w:color w:val="auto"/>
                <w:sz w:val="21"/>
                <w:szCs w:val="21"/>
                <w:highlight w:val="none"/>
              </w:rPr>
              <w:t>作业人员未按规定着装及佩戴防护装具。发现一次扣1分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6207AE96">
            <w:pPr>
              <w:snapToGrid w:val="0"/>
              <w:spacing w:line="360" w:lineRule="auto"/>
              <w:rPr>
                <w:rFonts w:hAnsi="宋体"/>
                <w:bCs/>
                <w:color w:val="auto"/>
                <w:sz w:val="21"/>
                <w:szCs w:val="21"/>
                <w:highlight w:val="none"/>
              </w:rPr>
            </w:pPr>
          </w:p>
        </w:tc>
      </w:tr>
      <w:tr w14:paraId="5272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8C5197F">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2D200AFE">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作业</w:t>
            </w:r>
            <w:r>
              <w:rPr>
                <w:rFonts w:hint="eastAsia" w:hAnsi="宋体"/>
                <w:bCs/>
                <w:color w:val="auto"/>
                <w:sz w:val="21"/>
                <w:szCs w:val="21"/>
                <w:highlight w:val="none"/>
              </w:rPr>
              <w:br w:type="textWrapping"/>
            </w:r>
            <w:r>
              <w:rPr>
                <w:rFonts w:hint="eastAsia" w:hAnsi="宋体"/>
                <w:bCs/>
                <w:color w:val="auto"/>
                <w:sz w:val="21"/>
                <w:szCs w:val="21"/>
                <w:highlight w:val="none"/>
              </w:rPr>
              <w:t>规范</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0648B84">
            <w:pPr>
              <w:snapToGrid w:val="0"/>
              <w:spacing w:line="360" w:lineRule="auto"/>
              <w:rPr>
                <w:rFonts w:hAnsi="宋体"/>
                <w:bCs/>
                <w:color w:val="auto"/>
                <w:sz w:val="21"/>
                <w:szCs w:val="21"/>
                <w:highlight w:val="none"/>
              </w:rPr>
            </w:pPr>
            <w:r>
              <w:rPr>
                <w:rFonts w:hint="eastAsia" w:hAnsi="宋体"/>
                <w:bCs/>
                <w:color w:val="auto"/>
                <w:sz w:val="21"/>
                <w:szCs w:val="21"/>
                <w:highlight w:val="none"/>
              </w:rPr>
              <w:t>清扫车作业人员不文明作业，未采取有效措施减少扬尘、噪音、污水，造成二次污染或扰民。发现一次扣1分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A66D8B7">
            <w:pPr>
              <w:snapToGrid w:val="0"/>
              <w:spacing w:line="360" w:lineRule="auto"/>
              <w:rPr>
                <w:rFonts w:hAnsi="宋体"/>
                <w:bCs/>
                <w:color w:val="auto"/>
                <w:sz w:val="21"/>
                <w:szCs w:val="21"/>
                <w:highlight w:val="none"/>
              </w:rPr>
            </w:pPr>
          </w:p>
        </w:tc>
      </w:tr>
      <w:tr w14:paraId="58C1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B91E753">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A9ACEA4">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15975E6">
            <w:pPr>
              <w:snapToGrid w:val="0"/>
              <w:spacing w:line="360" w:lineRule="auto"/>
              <w:rPr>
                <w:rFonts w:hAnsi="宋体"/>
                <w:bCs/>
                <w:color w:val="auto"/>
                <w:sz w:val="21"/>
                <w:szCs w:val="21"/>
                <w:highlight w:val="none"/>
              </w:rPr>
            </w:pPr>
            <w:r>
              <w:rPr>
                <w:rFonts w:hint="eastAsia" w:hAnsi="宋体"/>
                <w:bCs/>
                <w:color w:val="auto"/>
                <w:sz w:val="21"/>
                <w:szCs w:val="21"/>
                <w:highlight w:val="none"/>
              </w:rPr>
              <w:t>清扫出的垃圾随意弃于路肩或绿化带内；保洁车外部脏乱或垃圾未用保洁车转运；保洁车维护不及时带病上路。发现一次扣1分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7E55128">
            <w:pPr>
              <w:snapToGrid w:val="0"/>
              <w:spacing w:line="360" w:lineRule="auto"/>
              <w:rPr>
                <w:rFonts w:hAnsi="宋体"/>
                <w:bCs/>
                <w:color w:val="auto"/>
                <w:sz w:val="21"/>
                <w:szCs w:val="21"/>
                <w:highlight w:val="none"/>
              </w:rPr>
            </w:pPr>
          </w:p>
        </w:tc>
      </w:tr>
      <w:tr w14:paraId="00EAD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0D42651">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C697575">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740F6FB">
            <w:pPr>
              <w:snapToGrid w:val="0"/>
              <w:spacing w:line="360" w:lineRule="auto"/>
              <w:rPr>
                <w:rFonts w:hAnsi="宋体"/>
                <w:bCs/>
                <w:color w:val="auto"/>
                <w:sz w:val="21"/>
                <w:szCs w:val="21"/>
                <w:highlight w:val="none"/>
              </w:rPr>
            </w:pPr>
            <w:r>
              <w:rPr>
                <w:rFonts w:hint="eastAsia" w:hAnsi="宋体"/>
                <w:bCs/>
                <w:color w:val="auto"/>
                <w:sz w:val="21"/>
                <w:szCs w:val="21"/>
                <w:highlight w:val="none"/>
              </w:rPr>
              <w:t>处理沥青路面坑槽等病害时，未严格按照规定摆放警示标识（参照JTG H30-2015执行）；特种作业人员未持证上岗；未落实现场安全设施。发现一次扣2分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F1D7745">
            <w:pPr>
              <w:snapToGrid w:val="0"/>
              <w:spacing w:line="360" w:lineRule="auto"/>
              <w:rPr>
                <w:rFonts w:hAnsi="宋体"/>
                <w:bCs/>
                <w:color w:val="auto"/>
                <w:sz w:val="21"/>
                <w:szCs w:val="21"/>
                <w:highlight w:val="none"/>
              </w:rPr>
            </w:pPr>
          </w:p>
        </w:tc>
      </w:tr>
      <w:tr w14:paraId="583C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00F2107">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完成工作</w:t>
            </w:r>
            <w:r>
              <w:rPr>
                <w:rFonts w:hint="eastAsia" w:hAnsi="宋体"/>
                <w:bCs/>
                <w:color w:val="auto"/>
                <w:sz w:val="21"/>
                <w:szCs w:val="21"/>
                <w:highlight w:val="none"/>
              </w:rPr>
              <w:br w:type="textWrapping"/>
            </w:r>
            <w:r>
              <w:rPr>
                <w:rFonts w:hint="eastAsia" w:hAnsi="宋体"/>
                <w:bCs/>
                <w:color w:val="auto"/>
                <w:sz w:val="21"/>
                <w:szCs w:val="21"/>
                <w:highlight w:val="none"/>
              </w:rPr>
              <w:t>情况</w:t>
            </w:r>
            <w:r>
              <w:rPr>
                <w:rFonts w:hint="eastAsia" w:hAnsi="宋体"/>
                <w:bCs/>
                <w:color w:val="auto"/>
                <w:sz w:val="21"/>
                <w:szCs w:val="21"/>
                <w:highlight w:val="none"/>
              </w:rPr>
              <w:br w:type="textWrapping"/>
            </w:r>
            <w:r>
              <w:rPr>
                <w:rFonts w:hint="eastAsia" w:hAnsi="宋体"/>
                <w:bCs/>
                <w:color w:val="auto"/>
                <w:sz w:val="21"/>
                <w:szCs w:val="21"/>
                <w:highlight w:val="none"/>
              </w:rPr>
              <w:t>20分</w:t>
            </w: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1039F49">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信息</w:t>
            </w:r>
            <w:r>
              <w:rPr>
                <w:rFonts w:hint="eastAsia" w:hAnsi="宋体"/>
                <w:bCs/>
                <w:color w:val="auto"/>
                <w:sz w:val="21"/>
                <w:szCs w:val="21"/>
                <w:highlight w:val="none"/>
              </w:rPr>
              <w:br w:type="textWrapping"/>
            </w:r>
            <w:r>
              <w:rPr>
                <w:rFonts w:hint="eastAsia" w:hAnsi="宋体"/>
                <w:bCs/>
                <w:color w:val="auto"/>
                <w:sz w:val="21"/>
                <w:szCs w:val="21"/>
                <w:highlight w:val="none"/>
              </w:rPr>
              <w:t>上报</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5E120991">
            <w:pPr>
              <w:snapToGrid w:val="0"/>
              <w:spacing w:line="360" w:lineRule="auto"/>
              <w:rPr>
                <w:rFonts w:hAnsi="宋体"/>
                <w:bCs/>
                <w:color w:val="auto"/>
                <w:sz w:val="21"/>
                <w:szCs w:val="21"/>
                <w:highlight w:val="none"/>
              </w:rPr>
            </w:pPr>
            <w:r>
              <w:rPr>
                <w:rFonts w:hint="eastAsia" w:hAnsi="宋体"/>
                <w:bCs/>
                <w:color w:val="auto"/>
                <w:sz w:val="21"/>
                <w:szCs w:val="21"/>
                <w:highlight w:val="none"/>
              </w:rPr>
              <w:t>发现经常有抛洒滴漏的道口或无法直接清除的种植物、堆积物等，未上报或上报不及时。扣1分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3CB62593">
            <w:pPr>
              <w:snapToGrid w:val="0"/>
              <w:spacing w:line="360" w:lineRule="auto"/>
              <w:rPr>
                <w:rFonts w:hAnsi="宋体"/>
                <w:bCs/>
                <w:color w:val="auto"/>
                <w:sz w:val="21"/>
                <w:szCs w:val="21"/>
                <w:highlight w:val="none"/>
              </w:rPr>
            </w:pPr>
          </w:p>
        </w:tc>
      </w:tr>
      <w:tr w14:paraId="6775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2EFD0B2">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091E547">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6B8EFBA">
            <w:pPr>
              <w:snapToGrid w:val="0"/>
              <w:spacing w:line="360" w:lineRule="auto"/>
              <w:rPr>
                <w:rFonts w:hAnsi="宋体"/>
                <w:bCs/>
                <w:color w:val="auto"/>
                <w:sz w:val="21"/>
                <w:szCs w:val="21"/>
                <w:highlight w:val="none"/>
              </w:rPr>
            </w:pPr>
            <w:r>
              <w:rPr>
                <w:rFonts w:hint="eastAsia" w:hAnsi="宋体"/>
                <w:bCs/>
                <w:color w:val="auto"/>
                <w:sz w:val="21"/>
                <w:szCs w:val="21"/>
                <w:highlight w:val="none"/>
              </w:rPr>
              <w:t>突发事件处置发生后超7天上报；每月计量未在下月10日前上报。超时上报扣1分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F3CF7D3">
            <w:pPr>
              <w:snapToGrid w:val="0"/>
              <w:spacing w:line="360" w:lineRule="auto"/>
              <w:rPr>
                <w:rFonts w:hAnsi="宋体"/>
                <w:bCs/>
                <w:color w:val="auto"/>
                <w:sz w:val="21"/>
                <w:szCs w:val="21"/>
                <w:highlight w:val="none"/>
              </w:rPr>
            </w:pPr>
          </w:p>
        </w:tc>
      </w:tr>
      <w:tr w14:paraId="32E9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86CD89A">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137C76BA">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整改</w:t>
            </w:r>
            <w:r>
              <w:rPr>
                <w:rFonts w:hint="eastAsia" w:hAnsi="宋体"/>
                <w:bCs/>
                <w:color w:val="auto"/>
                <w:sz w:val="21"/>
                <w:szCs w:val="21"/>
                <w:highlight w:val="none"/>
              </w:rPr>
              <w:br w:type="textWrapping"/>
            </w:r>
            <w:r>
              <w:rPr>
                <w:rFonts w:hint="eastAsia" w:hAnsi="宋体"/>
                <w:bCs/>
                <w:color w:val="auto"/>
                <w:sz w:val="21"/>
                <w:szCs w:val="21"/>
                <w:highlight w:val="none"/>
              </w:rPr>
              <w:t>回复</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20C6EAB9">
            <w:pPr>
              <w:snapToGrid w:val="0"/>
              <w:spacing w:line="360" w:lineRule="auto"/>
              <w:rPr>
                <w:rFonts w:hAnsi="宋体"/>
                <w:bCs/>
                <w:color w:val="auto"/>
                <w:sz w:val="21"/>
                <w:szCs w:val="21"/>
                <w:highlight w:val="none"/>
              </w:rPr>
            </w:pPr>
            <w:r>
              <w:rPr>
                <w:rFonts w:hint="eastAsia" w:hAnsi="宋体"/>
                <w:bCs/>
                <w:color w:val="auto"/>
                <w:sz w:val="21"/>
                <w:szCs w:val="21"/>
                <w:highlight w:val="none"/>
              </w:rPr>
              <w:t>整改通报发出后5天内未回复，或整改回复未说明整改措施、完成时间、缺少影像资料。扣1分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11863FEA">
            <w:pPr>
              <w:snapToGrid w:val="0"/>
              <w:spacing w:line="360" w:lineRule="auto"/>
              <w:rPr>
                <w:rFonts w:hAnsi="宋体"/>
                <w:bCs/>
                <w:color w:val="auto"/>
                <w:sz w:val="21"/>
                <w:szCs w:val="21"/>
                <w:highlight w:val="none"/>
              </w:rPr>
            </w:pPr>
          </w:p>
        </w:tc>
      </w:tr>
      <w:tr w14:paraId="7CC5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9FE159B">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B8A0622">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B25C9E9">
            <w:pPr>
              <w:snapToGrid w:val="0"/>
              <w:spacing w:line="360" w:lineRule="auto"/>
              <w:rPr>
                <w:rFonts w:hAnsi="宋体"/>
                <w:bCs/>
                <w:color w:val="auto"/>
                <w:sz w:val="21"/>
                <w:szCs w:val="21"/>
                <w:highlight w:val="none"/>
              </w:rPr>
            </w:pPr>
            <w:r>
              <w:rPr>
                <w:rFonts w:hint="eastAsia" w:hAnsi="宋体"/>
                <w:bCs/>
                <w:color w:val="auto"/>
                <w:sz w:val="21"/>
                <w:szCs w:val="21"/>
                <w:highlight w:val="none"/>
              </w:rPr>
              <w:t>每月考核问题整改完成率低于90%；整改通报中多次（2次及以上）提出的问题未整改。扣1～5分；多次未整改扣5分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B513117">
            <w:pPr>
              <w:snapToGrid w:val="0"/>
              <w:spacing w:line="360" w:lineRule="auto"/>
              <w:rPr>
                <w:rFonts w:hAnsi="宋体"/>
                <w:bCs/>
                <w:color w:val="auto"/>
                <w:sz w:val="21"/>
                <w:szCs w:val="21"/>
                <w:highlight w:val="none"/>
              </w:rPr>
            </w:pPr>
          </w:p>
        </w:tc>
      </w:tr>
      <w:tr w14:paraId="7E06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6B32228">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49B2843">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保洁</w:t>
            </w:r>
            <w:r>
              <w:rPr>
                <w:rFonts w:hint="eastAsia" w:hAnsi="宋体"/>
                <w:bCs/>
                <w:color w:val="auto"/>
                <w:sz w:val="21"/>
                <w:szCs w:val="21"/>
                <w:highlight w:val="none"/>
              </w:rPr>
              <w:br w:type="textWrapping"/>
            </w:r>
            <w:r>
              <w:rPr>
                <w:rFonts w:hint="eastAsia" w:hAnsi="宋体"/>
                <w:bCs/>
                <w:color w:val="auto"/>
                <w:sz w:val="21"/>
                <w:szCs w:val="21"/>
                <w:highlight w:val="none"/>
              </w:rPr>
              <w:t>效果</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20CF47B">
            <w:pPr>
              <w:snapToGrid w:val="0"/>
              <w:spacing w:line="360" w:lineRule="auto"/>
              <w:rPr>
                <w:rFonts w:hAnsi="宋体"/>
                <w:bCs/>
                <w:color w:val="auto"/>
                <w:sz w:val="21"/>
                <w:szCs w:val="21"/>
                <w:highlight w:val="none"/>
              </w:rPr>
            </w:pPr>
            <w:r>
              <w:rPr>
                <w:rFonts w:hint="eastAsia" w:hAnsi="宋体"/>
                <w:bCs/>
                <w:color w:val="auto"/>
                <w:sz w:val="21"/>
                <w:szCs w:val="21"/>
                <w:highlight w:val="none"/>
              </w:rPr>
              <w:t>对经常污染路段未重点保洁，保洁效果差。扣1～2分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58D78688">
            <w:pPr>
              <w:snapToGrid w:val="0"/>
              <w:spacing w:line="360" w:lineRule="auto"/>
              <w:rPr>
                <w:rFonts w:hAnsi="宋体"/>
                <w:bCs/>
                <w:color w:val="auto"/>
                <w:sz w:val="21"/>
                <w:szCs w:val="21"/>
                <w:highlight w:val="none"/>
              </w:rPr>
            </w:pPr>
          </w:p>
        </w:tc>
      </w:tr>
      <w:tr w14:paraId="166EB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0740C5A">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20FE5B1C">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BB29823">
            <w:pPr>
              <w:snapToGrid w:val="0"/>
              <w:spacing w:line="360" w:lineRule="auto"/>
              <w:rPr>
                <w:rFonts w:hAnsi="宋体"/>
                <w:bCs/>
                <w:color w:val="auto"/>
                <w:sz w:val="21"/>
                <w:szCs w:val="21"/>
                <w:highlight w:val="none"/>
              </w:rPr>
            </w:pPr>
            <w:r>
              <w:rPr>
                <w:rFonts w:hint="eastAsia" w:hAnsi="宋体"/>
                <w:bCs/>
                <w:color w:val="auto"/>
                <w:sz w:val="21"/>
                <w:szCs w:val="21"/>
                <w:highlight w:val="none"/>
              </w:rPr>
              <w:t>日常工作中受到群众投诉举报且事实成立。视情况扣3～5分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A0A3B06">
            <w:pPr>
              <w:snapToGrid w:val="0"/>
              <w:spacing w:line="360" w:lineRule="auto"/>
              <w:rPr>
                <w:rFonts w:hAnsi="宋体"/>
                <w:bCs/>
                <w:color w:val="auto"/>
                <w:sz w:val="21"/>
                <w:szCs w:val="21"/>
                <w:highlight w:val="none"/>
              </w:rPr>
            </w:pPr>
          </w:p>
        </w:tc>
      </w:tr>
      <w:tr w14:paraId="1198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8D44D42">
            <w:pPr>
              <w:snapToGrid w:val="0"/>
              <w:spacing w:line="360" w:lineRule="auto"/>
              <w:jc w:val="center"/>
              <w:rPr>
                <w:rFonts w:hAnsi="宋体"/>
                <w:bCs/>
                <w:color w:val="auto"/>
                <w:sz w:val="21"/>
                <w:szCs w:val="21"/>
                <w:highlight w:val="none"/>
              </w:rPr>
            </w:pPr>
          </w:p>
        </w:tc>
        <w:tc>
          <w:tcPr>
            <w:tcW w:w="834" w:type="dxa"/>
            <w:vMerge w:val="restart"/>
            <w:tcBorders>
              <w:tl2br w:val="nil"/>
              <w:tr2bl w:val="nil"/>
            </w:tcBorders>
            <w:shd w:val="clear" w:color="auto" w:fill="FFFFFF" w:themeFill="background1"/>
            <w:noWrap/>
            <w:tcMar>
              <w:top w:w="-1" w:type="dxa"/>
              <w:left w:w="-1" w:type="dxa"/>
              <w:bottom w:w="-1" w:type="dxa"/>
              <w:right w:w="-1" w:type="dxa"/>
            </w:tcMar>
            <w:vAlign w:val="center"/>
          </w:tcPr>
          <w:p w14:paraId="77DACEC7">
            <w:pPr>
              <w:snapToGrid w:val="0"/>
              <w:spacing w:line="360" w:lineRule="auto"/>
              <w:jc w:val="center"/>
              <w:rPr>
                <w:rFonts w:hAnsi="宋体"/>
                <w:bCs/>
                <w:color w:val="auto"/>
                <w:sz w:val="21"/>
                <w:szCs w:val="21"/>
                <w:highlight w:val="none"/>
              </w:rPr>
            </w:pPr>
            <w:r>
              <w:rPr>
                <w:rFonts w:hint="eastAsia" w:hAnsi="宋体"/>
                <w:bCs/>
                <w:color w:val="auto"/>
                <w:sz w:val="21"/>
                <w:szCs w:val="21"/>
                <w:highlight w:val="none"/>
              </w:rPr>
              <w:t>应急</w:t>
            </w:r>
            <w:r>
              <w:rPr>
                <w:rFonts w:hint="eastAsia" w:hAnsi="宋体"/>
                <w:bCs/>
                <w:color w:val="auto"/>
                <w:sz w:val="21"/>
                <w:szCs w:val="21"/>
                <w:highlight w:val="none"/>
              </w:rPr>
              <w:br w:type="textWrapping"/>
            </w:r>
            <w:r>
              <w:rPr>
                <w:rFonts w:hint="eastAsia" w:hAnsi="宋体"/>
                <w:bCs/>
                <w:color w:val="auto"/>
                <w:sz w:val="21"/>
                <w:szCs w:val="21"/>
                <w:highlight w:val="none"/>
              </w:rPr>
              <w:t>处置</w:t>
            </w: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40222F77">
            <w:pPr>
              <w:snapToGrid w:val="0"/>
              <w:spacing w:line="360" w:lineRule="auto"/>
              <w:rPr>
                <w:rFonts w:hAnsi="宋体"/>
                <w:bCs/>
                <w:color w:val="auto"/>
                <w:sz w:val="21"/>
                <w:szCs w:val="21"/>
                <w:highlight w:val="none"/>
              </w:rPr>
            </w:pPr>
            <w:r>
              <w:rPr>
                <w:rFonts w:hint="eastAsia" w:hAnsi="宋体"/>
                <w:bCs/>
                <w:color w:val="auto"/>
                <w:sz w:val="21"/>
                <w:szCs w:val="21"/>
                <w:highlight w:val="none"/>
              </w:rPr>
              <w:t>未按要求完成每年2次应急演练（缺1次/未开展）；演练方案脱离项目实际、无针对性。缺1次扣2分；未开展扣3分</w:t>
            </w:r>
          </w:p>
        </w:tc>
        <w:tc>
          <w:tcPr>
            <w:tcW w:w="946" w:type="dxa"/>
            <w:vMerge w:val="restart"/>
            <w:tcBorders>
              <w:tl2br w:val="nil"/>
              <w:tr2bl w:val="nil"/>
            </w:tcBorders>
            <w:shd w:val="clear" w:color="auto" w:fill="FFFFFF" w:themeFill="background1"/>
            <w:noWrap/>
            <w:tcMar>
              <w:top w:w="-1" w:type="dxa"/>
              <w:left w:w="-1" w:type="dxa"/>
              <w:bottom w:w="-1" w:type="dxa"/>
              <w:right w:w="-1" w:type="dxa"/>
            </w:tcMar>
            <w:vAlign w:val="center"/>
          </w:tcPr>
          <w:p w14:paraId="0576AB87">
            <w:pPr>
              <w:snapToGrid w:val="0"/>
              <w:spacing w:line="360" w:lineRule="auto"/>
              <w:rPr>
                <w:rFonts w:hAnsi="宋体"/>
                <w:bCs/>
                <w:color w:val="auto"/>
                <w:sz w:val="21"/>
                <w:szCs w:val="21"/>
                <w:highlight w:val="none"/>
              </w:rPr>
            </w:pPr>
          </w:p>
        </w:tc>
      </w:tr>
      <w:tr w14:paraId="0155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8A7C264">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0E80D69C">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313E8EC0">
            <w:pPr>
              <w:snapToGrid w:val="0"/>
              <w:spacing w:line="360" w:lineRule="auto"/>
              <w:rPr>
                <w:rFonts w:hAnsi="宋体"/>
                <w:bCs/>
                <w:color w:val="auto"/>
                <w:sz w:val="21"/>
                <w:szCs w:val="21"/>
                <w:highlight w:val="none"/>
              </w:rPr>
            </w:pPr>
            <w:r>
              <w:rPr>
                <w:rFonts w:hint="eastAsia" w:hAnsi="宋体"/>
                <w:bCs/>
                <w:color w:val="auto"/>
                <w:sz w:val="21"/>
                <w:szCs w:val="21"/>
                <w:highlight w:val="none"/>
              </w:rPr>
              <w:t>演练无记录、无影像资料、无总结整改。每次扣1分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AED24C3">
            <w:pPr>
              <w:snapToGrid w:val="0"/>
              <w:spacing w:line="360" w:lineRule="auto"/>
              <w:rPr>
                <w:rFonts w:hAnsi="宋体"/>
                <w:bCs/>
                <w:color w:val="auto"/>
                <w:sz w:val="21"/>
                <w:szCs w:val="21"/>
                <w:highlight w:val="none"/>
              </w:rPr>
            </w:pPr>
          </w:p>
        </w:tc>
      </w:tr>
      <w:tr w14:paraId="0858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3AA384F3">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2A4CE0C">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01EAFC0E">
            <w:pPr>
              <w:snapToGrid w:val="0"/>
              <w:spacing w:line="360" w:lineRule="auto"/>
              <w:rPr>
                <w:rFonts w:hAnsi="宋体"/>
                <w:bCs/>
                <w:color w:val="auto"/>
                <w:sz w:val="21"/>
                <w:szCs w:val="21"/>
                <w:highlight w:val="none"/>
              </w:rPr>
            </w:pPr>
            <w:r>
              <w:rPr>
                <w:rFonts w:hint="eastAsia" w:hAnsi="宋体"/>
                <w:bCs/>
                <w:color w:val="auto"/>
                <w:sz w:val="21"/>
                <w:szCs w:val="21"/>
                <w:highlight w:val="none"/>
              </w:rPr>
              <w:t>突发事件（交通事故、路面污染、障碍物、恶劣天气等）处置，接令后30分钟内未响应出动；超过1小时未抵达现场。每次扣1分；超1小时扣2分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6D2F3CD">
            <w:pPr>
              <w:snapToGrid w:val="0"/>
              <w:spacing w:line="360" w:lineRule="auto"/>
              <w:rPr>
                <w:rFonts w:hAnsi="宋体"/>
                <w:bCs/>
                <w:color w:val="auto"/>
                <w:sz w:val="21"/>
                <w:szCs w:val="21"/>
                <w:highlight w:val="none"/>
              </w:rPr>
            </w:pPr>
          </w:p>
        </w:tc>
      </w:tr>
      <w:tr w14:paraId="5864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F098E5A">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5C630A0D">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131BA86F">
            <w:pPr>
              <w:snapToGrid w:val="0"/>
              <w:spacing w:line="360" w:lineRule="auto"/>
              <w:rPr>
                <w:rFonts w:hAnsi="宋体"/>
                <w:bCs/>
                <w:color w:val="auto"/>
                <w:sz w:val="21"/>
                <w:szCs w:val="21"/>
                <w:highlight w:val="none"/>
              </w:rPr>
            </w:pPr>
            <w:r>
              <w:rPr>
                <w:rFonts w:hint="eastAsia" w:hAnsi="宋体"/>
                <w:bCs/>
                <w:color w:val="auto"/>
                <w:sz w:val="21"/>
                <w:szCs w:val="21"/>
                <w:highlight w:val="none"/>
              </w:rPr>
              <w:t>应急基地夜间值班不足2人、恶劣天气未按要求增派值班。每次扣2分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0834CB7">
            <w:pPr>
              <w:snapToGrid w:val="0"/>
              <w:spacing w:line="360" w:lineRule="auto"/>
              <w:rPr>
                <w:rFonts w:hAnsi="宋体"/>
                <w:bCs/>
                <w:color w:val="auto"/>
                <w:sz w:val="21"/>
                <w:szCs w:val="21"/>
                <w:highlight w:val="none"/>
              </w:rPr>
            </w:pPr>
          </w:p>
        </w:tc>
      </w:tr>
      <w:tr w14:paraId="0E2A8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2"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1F6817AE">
            <w:pPr>
              <w:snapToGrid w:val="0"/>
              <w:spacing w:line="360" w:lineRule="auto"/>
              <w:jc w:val="center"/>
              <w:rPr>
                <w:rFonts w:hAnsi="宋体"/>
                <w:bCs/>
                <w:color w:val="auto"/>
                <w:sz w:val="21"/>
                <w:szCs w:val="21"/>
                <w:highlight w:val="none"/>
              </w:rPr>
            </w:pPr>
          </w:p>
        </w:tc>
        <w:tc>
          <w:tcPr>
            <w:tcW w:w="834"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7269B4AE">
            <w:pPr>
              <w:snapToGrid w:val="0"/>
              <w:spacing w:line="360" w:lineRule="auto"/>
              <w:jc w:val="center"/>
              <w:rPr>
                <w:rFonts w:hAnsi="宋体"/>
                <w:bCs/>
                <w:color w:val="auto"/>
                <w:sz w:val="21"/>
                <w:szCs w:val="21"/>
                <w:highlight w:val="none"/>
              </w:rPr>
            </w:pPr>
          </w:p>
        </w:tc>
        <w:tc>
          <w:tcPr>
            <w:tcW w:w="6508" w:type="dxa"/>
            <w:tcBorders>
              <w:tl2br w:val="nil"/>
              <w:tr2bl w:val="nil"/>
            </w:tcBorders>
            <w:shd w:val="clear" w:color="auto" w:fill="FFFFFF" w:themeFill="background1"/>
            <w:noWrap/>
            <w:tcMar>
              <w:top w:w="-1" w:type="dxa"/>
              <w:left w:w="-1" w:type="dxa"/>
              <w:bottom w:w="-1" w:type="dxa"/>
              <w:right w:w="-1" w:type="dxa"/>
            </w:tcMar>
            <w:vAlign w:val="center"/>
          </w:tcPr>
          <w:p w14:paraId="6FBAB76E">
            <w:pPr>
              <w:snapToGrid w:val="0"/>
              <w:spacing w:line="360" w:lineRule="auto"/>
              <w:rPr>
                <w:rFonts w:hAnsi="宋体"/>
                <w:bCs/>
                <w:color w:val="auto"/>
                <w:sz w:val="21"/>
                <w:szCs w:val="21"/>
                <w:highlight w:val="none"/>
              </w:rPr>
            </w:pPr>
            <w:r>
              <w:rPr>
                <w:rFonts w:hint="eastAsia" w:hAnsi="宋体"/>
                <w:bCs/>
                <w:color w:val="auto"/>
                <w:sz w:val="21"/>
                <w:szCs w:val="21"/>
                <w:highlight w:val="none"/>
              </w:rPr>
              <w:t>应急基地夜间值班人员脱岗、失联；瞒报、迟报导致处置延误。脱岗失联扣2分；瞒报迟报扣2分</w:t>
            </w:r>
          </w:p>
        </w:tc>
        <w:tc>
          <w:tcPr>
            <w:tcW w:w="946" w:type="dxa"/>
            <w:vMerge w:val="continue"/>
            <w:tcBorders>
              <w:tl2br w:val="nil"/>
              <w:tr2bl w:val="nil"/>
            </w:tcBorders>
            <w:shd w:val="clear" w:color="auto" w:fill="FFFFFF" w:themeFill="background1"/>
            <w:noWrap/>
            <w:tcMar>
              <w:top w:w="-1" w:type="dxa"/>
              <w:left w:w="-1" w:type="dxa"/>
              <w:bottom w:w="-1" w:type="dxa"/>
              <w:right w:w="-1" w:type="dxa"/>
            </w:tcMar>
            <w:vAlign w:val="center"/>
          </w:tcPr>
          <w:p w14:paraId="4F6603F4">
            <w:pPr>
              <w:snapToGrid w:val="0"/>
              <w:spacing w:line="360" w:lineRule="auto"/>
              <w:rPr>
                <w:rFonts w:hAnsi="宋体"/>
                <w:bCs/>
                <w:color w:val="auto"/>
                <w:sz w:val="21"/>
                <w:szCs w:val="21"/>
                <w:highlight w:val="none"/>
              </w:rPr>
            </w:pPr>
          </w:p>
        </w:tc>
      </w:tr>
    </w:tbl>
    <w:p w14:paraId="0E85A0E4">
      <w:pPr>
        <w:pStyle w:val="428"/>
        <w:tabs>
          <w:tab w:val="left" w:pos="1442"/>
        </w:tabs>
        <w:spacing w:line="570" w:lineRule="exact"/>
        <w:ind w:firstLine="545" w:firstLineChars="194"/>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八、附则</w:t>
      </w:r>
    </w:p>
    <w:p w14:paraId="5E7A0FC9">
      <w:pPr>
        <w:pStyle w:val="428"/>
        <w:tabs>
          <w:tab w:val="left" w:pos="1442"/>
        </w:tabs>
        <w:spacing w:line="570" w:lineRule="exact"/>
        <w:ind w:firstLine="543" w:firstLineChars="194"/>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本标准由太仓市交通运输局负责解释，可根据项目实施情况动态调整。</w:t>
      </w:r>
    </w:p>
    <w:p w14:paraId="18982DCD">
      <w:pPr>
        <w:pStyle w:val="428"/>
        <w:tabs>
          <w:tab w:val="left" w:pos="1442"/>
        </w:tabs>
        <w:spacing w:line="570" w:lineRule="exact"/>
        <w:ind w:firstLine="465" w:firstLineChars="194"/>
        <w:rPr>
          <w:rFonts w:ascii="宋体" w:hAnsi="宋体" w:eastAsia="宋体"/>
          <w:color w:val="auto"/>
          <w:sz w:val="24"/>
          <w:szCs w:val="24"/>
          <w:highlight w:val="none"/>
        </w:rPr>
      </w:pPr>
    </w:p>
    <w:p w14:paraId="0D2DE448">
      <w:pPr>
        <w:pStyle w:val="428"/>
        <w:tabs>
          <w:tab w:val="left" w:pos="1442"/>
        </w:tabs>
        <w:spacing w:line="570" w:lineRule="exact"/>
        <w:ind w:firstLine="465" w:firstLineChars="194"/>
        <w:rPr>
          <w:rFonts w:ascii="宋体" w:hAnsi="宋体" w:eastAsia="宋体"/>
          <w:color w:val="auto"/>
          <w:sz w:val="24"/>
          <w:szCs w:val="24"/>
          <w:highlight w:val="none"/>
        </w:rPr>
      </w:pPr>
    </w:p>
    <w:p w14:paraId="3A9D75F0">
      <w:pPr>
        <w:pStyle w:val="428"/>
        <w:tabs>
          <w:tab w:val="left" w:pos="1442"/>
        </w:tabs>
        <w:spacing w:line="570" w:lineRule="exact"/>
        <w:ind w:firstLine="465" w:firstLineChars="194"/>
        <w:rPr>
          <w:rFonts w:ascii="宋体" w:hAnsi="宋体" w:eastAsia="宋体"/>
          <w:color w:val="auto"/>
          <w:sz w:val="24"/>
          <w:szCs w:val="24"/>
          <w:highlight w:val="none"/>
        </w:rPr>
      </w:pPr>
    </w:p>
    <w:p w14:paraId="4669B74C">
      <w:pPr>
        <w:jc w:val="right"/>
        <w:rPr>
          <w:rFonts w:hAnsi="宋体"/>
          <w:color w:val="auto"/>
          <w:sz w:val="24"/>
          <w:szCs w:val="24"/>
          <w:highlight w:val="none"/>
        </w:rPr>
      </w:pPr>
      <w:r>
        <w:rPr>
          <w:rFonts w:hint="eastAsia" w:hAnsi="宋体"/>
          <w:color w:val="auto"/>
          <w:sz w:val="24"/>
          <w:szCs w:val="24"/>
          <w:highlight w:val="none"/>
        </w:rPr>
        <w:t>（全文完）</w:t>
      </w:r>
    </w:p>
    <w:sectPr>
      <w:pgSz w:w="11906" w:h="16838"/>
      <w:pgMar w:top="1361" w:right="1304" w:bottom="1304" w:left="136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宋体"/>
    <w:panose1 w:val="02010609030101010101"/>
    <w:charset w:val="86"/>
    <w:family w:val="modern"/>
    <w:pitch w:val="default"/>
    <w:sig w:usb0="00000000" w:usb1="00000000" w:usb2="00000010" w:usb3="00000000" w:csb0="00040000" w:csb1="00000000"/>
  </w:font>
  <w:font w:name="Arial Unicode MS">
    <w:panose1 w:val="020B0604020202020204"/>
    <w:charset w:val="86"/>
    <w:family w:val="swiss"/>
    <w:pitch w:val="default"/>
    <w:sig w:usb0="F7FFAEFF" w:usb1="F9DFFFFF" w:usb2="0000007F" w:usb3="00000000" w:csb0="203F01FF" w:csb1="DFFF0000"/>
  </w:font>
  <w:font w:name="宋体ラ...">
    <w:altName w:val="Times New Roman"/>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3774E">
    <w:pPr>
      <w:pStyle w:val="27"/>
    </w:pPr>
    <w:r>
      <w:pict>
        <v:shape id="_x0000_s1028" o:spid="_x0000_s102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path/>
          <v:fill on="f" focussize="0,0"/>
          <v:stroke on="f" joinstyle="miter"/>
          <v:imagedata o:title=""/>
          <o:lock v:ext="edit"/>
          <v:textbox inset="0mm,0mm,0mm,0mm" style="mso-fit-shape-to-text:t;">
            <w:txbxContent>
              <w:p w14:paraId="42FEDA7A">
                <w:pPr>
                  <w:pStyle w:val="27"/>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p w14:paraId="5E71A649"/>
            </w:txbxContent>
          </v:textbox>
        </v:shape>
      </w:pict>
    </w:r>
  </w:p>
  <w:p w14:paraId="2B6E9EF3">
    <w:pPr>
      <w:pStyle w:val="16"/>
      <w:spacing w:before="0" w:line="14" w:lineRule="auto"/>
      <w:ind w:left="0"/>
      <w:rPr>
        <w:rFonts w:ascii="Times New Roman" w:eastAsia="等线"/>
        <w:szCs w:val="20"/>
      </w:rPr>
    </w:pPr>
  </w:p>
  <w:p w14:paraId="63A589C2">
    <w:pPr>
      <w:pStyle w:val="16"/>
      <w:spacing w:before="0" w:line="14" w:lineRule="auto"/>
      <w:ind w:left="0"/>
      <w:rPr>
        <w:rFonts w:ascii="Times New Roman" w:eastAsia="等线"/>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23920">
    <w:pPr>
      <w:pStyle w:val="27"/>
    </w:pPr>
    <w:r>
      <w:pict>
        <v:shape id="_x0000_s1026" o:spid="_x0000_s1026" o:spt="202" type="#_x0000_t202" style="position:absolute;left:0pt;margin-left:178.65pt;margin-top:-10.9pt;height:13.15pt;width:87.8pt;mso-position-horizontal-relative:margin;z-index:251660288;mso-width-relative:page;mso-height-relative:page;" filled="f" stroked="f" coordsize="21600,21600" o:gfxdata="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FKqmi2QAAAAkBAAAPAAAAAAAAAAEAIAAA&#10;ACIAAABkcnMvZG93bnJldi54bWxQSwECFAAUAAAACACHTuJAa+yOzdIBAACcAwAADgAAAAAAAAAB&#10;ACAAAAAoAQAAZHJzL2Uyb0RvYy54bWxQSwUGAAAAAAYABgBZAQAAbAUAAAAA&#10;">
          <v:path/>
          <v:fill on="f" focussize="0,0"/>
          <v:stroke on="f" joinstyle="miter"/>
          <v:imagedata o:title=""/>
          <o:lock v:ext="edit"/>
          <v:textbox inset="0mm,0mm,0mm,0mm">
            <w:txbxContent>
              <w:p w14:paraId="0B3C3E88">
                <w:pPr>
                  <w:pStyle w:val="27"/>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p w14:paraId="4997CB47"/>
              <w:p w14:paraId="323C675B"/>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357A6">
    <w:pPr>
      <w:pStyle w:val="27"/>
    </w:pPr>
    <w:r>
      <w:pict>
        <v:shape id="_x0000_s1027" o:spid="_x0000_s1027" o:spt="202" type="#_x0000_t202" style="position:absolute;left:0pt;margin-top:0pt;height:13.15pt;width:87.8pt;mso-position-horizontal:center;mso-position-horizontal-relative:margin;z-index:251660288;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N0+a3NQAAAAEAQAADwAAAAAAAAABACAAAAAiAAAA&#10;ZHJzL2Rvd25yZXYueG1sUEsBAhQAFAAAAAgAh07iQIJ16B7SAQAAnAMAAA4AAAAAAAAAAQAgAAAA&#10;IwEAAGRycy9lMm9Eb2MueG1sUEsFBgAAAAAGAAYAWQEAAGcFAAAAAA==&#10;">
          <v:path/>
          <v:fill on="f" focussize="0,0"/>
          <v:stroke on="f" joinstyle="miter"/>
          <v:imagedata o:title=""/>
          <o:lock v:ext="edit"/>
          <v:textbox inset="0mm,0mm,0mm,0mm">
            <w:txbxContent>
              <w:p w14:paraId="2282B6BC">
                <w:pPr>
                  <w:pStyle w:val="27"/>
                  <w:jc w:val="cente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p w14:paraId="39BE137A"/>
              <w:p w14:paraId="709D6B60"/>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573BD">
    <w:pPr>
      <w:pStyle w:val="27"/>
      <w:jc w:val="center"/>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5BA57">
    <w:pPr>
      <w:pStyle w:val="27"/>
      <w:jc w:val="center"/>
    </w:pPr>
    <w:r>
      <w:t xml:space="preserve">第 </w:t>
    </w:r>
    <w:r>
      <w:fldChar w:fldCharType="begin"/>
    </w:r>
    <w:r>
      <w:instrText xml:space="preserve"> PAGE  \* MERGEFORMAT </w:instrText>
    </w:r>
    <w:r>
      <w:fldChar w:fldCharType="separate"/>
    </w:r>
    <w:r>
      <w:t>89</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274B2">
    <w:pPr>
      <w:pStyle w:val="27"/>
      <w:jc w:val="center"/>
    </w:pPr>
    <w:r>
      <w:fldChar w:fldCharType="begin"/>
    </w:r>
    <w:r>
      <w:instrText xml:space="preserve">PAGE   \* MERGEFORMAT</w:instrText>
    </w:r>
    <w:r>
      <w:fldChar w:fldCharType="separate"/>
    </w:r>
    <w:r>
      <w:rPr>
        <w:lang w:val="zh-CN"/>
      </w:rPr>
      <w:t>47</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D71AD">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FF9B6">
    <w:pPr>
      <w:pStyle w:val="2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adjustLineHeightInTable/>
    <w:doNotWrapTextWithPunct/>
    <w:doNotUseEastAsianBreakRules/>
    <w:useFELayout/>
    <w:compatSetting w:name="compatibilityMode" w:uri="http://schemas.microsoft.com/office/word" w:val="12"/>
  </w:compat>
  <w:rsids>
    <w:rsidRoot w:val="00707BA0"/>
    <w:rsid w:val="000063A3"/>
    <w:rsid w:val="0001071F"/>
    <w:rsid w:val="00011405"/>
    <w:rsid w:val="00011E50"/>
    <w:rsid w:val="00020CB3"/>
    <w:rsid w:val="000219D6"/>
    <w:rsid w:val="00022C70"/>
    <w:rsid w:val="00025034"/>
    <w:rsid w:val="000269F2"/>
    <w:rsid w:val="00027F23"/>
    <w:rsid w:val="000322E1"/>
    <w:rsid w:val="000335B0"/>
    <w:rsid w:val="00036605"/>
    <w:rsid w:val="00037605"/>
    <w:rsid w:val="000415DB"/>
    <w:rsid w:val="00043901"/>
    <w:rsid w:val="0004727D"/>
    <w:rsid w:val="00053D40"/>
    <w:rsid w:val="00055B76"/>
    <w:rsid w:val="00067E50"/>
    <w:rsid w:val="00074348"/>
    <w:rsid w:val="000772C5"/>
    <w:rsid w:val="00077E04"/>
    <w:rsid w:val="00083C49"/>
    <w:rsid w:val="00087765"/>
    <w:rsid w:val="00087B6E"/>
    <w:rsid w:val="0009031A"/>
    <w:rsid w:val="00092C32"/>
    <w:rsid w:val="00092F13"/>
    <w:rsid w:val="000A0500"/>
    <w:rsid w:val="000A213B"/>
    <w:rsid w:val="000A22B7"/>
    <w:rsid w:val="000A2F78"/>
    <w:rsid w:val="000A4167"/>
    <w:rsid w:val="000B17E3"/>
    <w:rsid w:val="000B7966"/>
    <w:rsid w:val="000C0AA3"/>
    <w:rsid w:val="000C569C"/>
    <w:rsid w:val="000D1059"/>
    <w:rsid w:val="000D419C"/>
    <w:rsid w:val="000D7EAF"/>
    <w:rsid w:val="000E5FE9"/>
    <w:rsid w:val="000E6F9E"/>
    <w:rsid w:val="000E7966"/>
    <w:rsid w:val="000F00A7"/>
    <w:rsid w:val="000F14A1"/>
    <w:rsid w:val="000F414D"/>
    <w:rsid w:val="000F6B33"/>
    <w:rsid w:val="00105CEB"/>
    <w:rsid w:val="00105D0D"/>
    <w:rsid w:val="001109BB"/>
    <w:rsid w:val="0011247C"/>
    <w:rsid w:val="00112784"/>
    <w:rsid w:val="00113172"/>
    <w:rsid w:val="00113629"/>
    <w:rsid w:val="00114DB8"/>
    <w:rsid w:val="00117B55"/>
    <w:rsid w:val="001230D0"/>
    <w:rsid w:val="001238AF"/>
    <w:rsid w:val="00132C1D"/>
    <w:rsid w:val="00133C7F"/>
    <w:rsid w:val="00136004"/>
    <w:rsid w:val="00136788"/>
    <w:rsid w:val="001442EB"/>
    <w:rsid w:val="00146E7C"/>
    <w:rsid w:val="00146F90"/>
    <w:rsid w:val="00147CF3"/>
    <w:rsid w:val="001630AD"/>
    <w:rsid w:val="00163C8B"/>
    <w:rsid w:val="00167C43"/>
    <w:rsid w:val="001708DE"/>
    <w:rsid w:val="00170FF9"/>
    <w:rsid w:val="00173851"/>
    <w:rsid w:val="00184E84"/>
    <w:rsid w:val="00184F5D"/>
    <w:rsid w:val="00184F7B"/>
    <w:rsid w:val="00187CB7"/>
    <w:rsid w:val="001934A6"/>
    <w:rsid w:val="001954A5"/>
    <w:rsid w:val="00197682"/>
    <w:rsid w:val="001C0A44"/>
    <w:rsid w:val="001C0B30"/>
    <w:rsid w:val="001C569E"/>
    <w:rsid w:val="001C779D"/>
    <w:rsid w:val="001D19AF"/>
    <w:rsid w:val="001D3CA1"/>
    <w:rsid w:val="001D7A3A"/>
    <w:rsid w:val="001D7C57"/>
    <w:rsid w:val="001E1B19"/>
    <w:rsid w:val="001E470F"/>
    <w:rsid w:val="001E795F"/>
    <w:rsid w:val="001F077C"/>
    <w:rsid w:val="001F0984"/>
    <w:rsid w:val="001F3F43"/>
    <w:rsid w:val="001F4EF7"/>
    <w:rsid w:val="001F59A5"/>
    <w:rsid w:val="001F62E4"/>
    <w:rsid w:val="00200FB9"/>
    <w:rsid w:val="002028B5"/>
    <w:rsid w:val="0021587B"/>
    <w:rsid w:val="00220429"/>
    <w:rsid w:val="002208B3"/>
    <w:rsid w:val="00224BB1"/>
    <w:rsid w:val="00226A87"/>
    <w:rsid w:val="00234215"/>
    <w:rsid w:val="00235A69"/>
    <w:rsid w:val="00240ACE"/>
    <w:rsid w:val="00240B63"/>
    <w:rsid w:val="00241842"/>
    <w:rsid w:val="002436C9"/>
    <w:rsid w:val="002467D8"/>
    <w:rsid w:val="002474D5"/>
    <w:rsid w:val="00250E2D"/>
    <w:rsid w:val="00251A72"/>
    <w:rsid w:val="00255B97"/>
    <w:rsid w:val="0025699F"/>
    <w:rsid w:val="00263F9A"/>
    <w:rsid w:val="00265B14"/>
    <w:rsid w:val="00267C25"/>
    <w:rsid w:val="002719AF"/>
    <w:rsid w:val="002725BF"/>
    <w:rsid w:val="00277EDD"/>
    <w:rsid w:val="00281322"/>
    <w:rsid w:val="002830DB"/>
    <w:rsid w:val="00284497"/>
    <w:rsid w:val="002848A4"/>
    <w:rsid w:val="00284BF5"/>
    <w:rsid w:val="002904D5"/>
    <w:rsid w:val="002924F5"/>
    <w:rsid w:val="00295E75"/>
    <w:rsid w:val="0029649C"/>
    <w:rsid w:val="002A0ECC"/>
    <w:rsid w:val="002A1B11"/>
    <w:rsid w:val="002A219B"/>
    <w:rsid w:val="002C2D8D"/>
    <w:rsid w:val="002C36F4"/>
    <w:rsid w:val="002D1BCD"/>
    <w:rsid w:val="002D279A"/>
    <w:rsid w:val="002D73C1"/>
    <w:rsid w:val="002E1D41"/>
    <w:rsid w:val="002E2BE0"/>
    <w:rsid w:val="002E3504"/>
    <w:rsid w:val="002E4746"/>
    <w:rsid w:val="002E650D"/>
    <w:rsid w:val="002F2006"/>
    <w:rsid w:val="002F3163"/>
    <w:rsid w:val="002F6A4C"/>
    <w:rsid w:val="00302447"/>
    <w:rsid w:val="00303FB0"/>
    <w:rsid w:val="00307A01"/>
    <w:rsid w:val="00312973"/>
    <w:rsid w:val="003136C3"/>
    <w:rsid w:val="00316952"/>
    <w:rsid w:val="00320561"/>
    <w:rsid w:val="003238AF"/>
    <w:rsid w:val="00323D70"/>
    <w:rsid w:val="00324DF8"/>
    <w:rsid w:val="003330DB"/>
    <w:rsid w:val="00333F1D"/>
    <w:rsid w:val="00333FA0"/>
    <w:rsid w:val="00335970"/>
    <w:rsid w:val="00337D70"/>
    <w:rsid w:val="00342C05"/>
    <w:rsid w:val="00346769"/>
    <w:rsid w:val="0034724F"/>
    <w:rsid w:val="00351881"/>
    <w:rsid w:val="00352224"/>
    <w:rsid w:val="00353754"/>
    <w:rsid w:val="00356E09"/>
    <w:rsid w:val="00357335"/>
    <w:rsid w:val="00371243"/>
    <w:rsid w:val="00372E69"/>
    <w:rsid w:val="00373717"/>
    <w:rsid w:val="00374A08"/>
    <w:rsid w:val="0037655C"/>
    <w:rsid w:val="00377086"/>
    <w:rsid w:val="00380C49"/>
    <w:rsid w:val="0038399C"/>
    <w:rsid w:val="00383DDA"/>
    <w:rsid w:val="00386F5E"/>
    <w:rsid w:val="003908BD"/>
    <w:rsid w:val="00391EC9"/>
    <w:rsid w:val="00393D3E"/>
    <w:rsid w:val="0039743F"/>
    <w:rsid w:val="003A10C2"/>
    <w:rsid w:val="003A2A3B"/>
    <w:rsid w:val="003A3389"/>
    <w:rsid w:val="003A669A"/>
    <w:rsid w:val="003B4CD3"/>
    <w:rsid w:val="003B601B"/>
    <w:rsid w:val="003B72B8"/>
    <w:rsid w:val="003C3BA1"/>
    <w:rsid w:val="003C3BD5"/>
    <w:rsid w:val="003C5ACD"/>
    <w:rsid w:val="003C6B0D"/>
    <w:rsid w:val="003C7718"/>
    <w:rsid w:val="003D442E"/>
    <w:rsid w:val="003D7C81"/>
    <w:rsid w:val="003E1F61"/>
    <w:rsid w:val="003E37ED"/>
    <w:rsid w:val="003E5406"/>
    <w:rsid w:val="003E79EE"/>
    <w:rsid w:val="003F275A"/>
    <w:rsid w:val="003F53DE"/>
    <w:rsid w:val="003F5636"/>
    <w:rsid w:val="004048FE"/>
    <w:rsid w:val="00405D48"/>
    <w:rsid w:val="00410C30"/>
    <w:rsid w:val="00411C13"/>
    <w:rsid w:val="0041220E"/>
    <w:rsid w:val="0041261B"/>
    <w:rsid w:val="004168CA"/>
    <w:rsid w:val="00416990"/>
    <w:rsid w:val="00420574"/>
    <w:rsid w:val="004265C7"/>
    <w:rsid w:val="00432691"/>
    <w:rsid w:val="00433C0D"/>
    <w:rsid w:val="004412CA"/>
    <w:rsid w:val="00441C24"/>
    <w:rsid w:val="00447255"/>
    <w:rsid w:val="004504C1"/>
    <w:rsid w:val="00450EFB"/>
    <w:rsid w:val="00451DCF"/>
    <w:rsid w:val="00454C7A"/>
    <w:rsid w:val="00455878"/>
    <w:rsid w:val="00457089"/>
    <w:rsid w:val="00460D40"/>
    <w:rsid w:val="004627C8"/>
    <w:rsid w:val="00466F84"/>
    <w:rsid w:val="004700F6"/>
    <w:rsid w:val="004720FD"/>
    <w:rsid w:val="004721F6"/>
    <w:rsid w:val="00473E10"/>
    <w:rsid w:val="0047541B"/>
    <w:rsid w:val="00475446"/>
    <w:rsid w:val="00475E0B"/>
    <w:rsid w:val="00477C43"/>
    <w:rsid w:val="00481056"/>
    <w:rsid w:val="00482849"/>
    <w:rsid w:val="00484B88"/>
    <w:rsid w:val="004853CC"/>
    <w:rsid w:val="00485E1B"/>
    <w:rsid w:val="00490669"/>
    <w:rsid w:val="00490E6E"/>
    <w:rsid w:val="0049537D"/>
    <w:rsid w:val="00495679"/>
    <w:rsid w:val="004A1DA8"/>
    <w:rsid w:val="004A266E"/>
    <w:rsid w:val="004A42BD"/>
    <w:rsid w:val="004B2D65"/>
    <w:rsid w:val="004B7EF3"/>
    <w:rsid w:val="004C146D"/>
    <w:rsid w:val="004C3F84"/>
    <w:rsid w:val="004C59F3"/>
    <w:rsid w:val="004C668A"/>
    <w:rsid w:val="004C7F51"/>
    <w:rsid w:val="004D2542"/>
    <w:rsid w:val="004D28B0"/>
    <w:rsid w:val="004D3BA2"/>
    <w:rsid w:val="004D44CA"/>
    <w:rsid w:val="004D7116"/>
    <w:rsid w:val="004E4CA9"/>
    <w:rsid w:val="004E7DF5"/>
    <w:rsid w:val="004E7EC2"/>
    <w:rsid w:val="004F08D6"/>
    <w:rsid w:val="004F64BE"/>
    <w:rsid w:val="004F7898"/>
    <w:rsid w:val="00500AE9"/>
    <w:rsid w:val="00504B59"/>
    <w:rsid w:val="00506F81"/>
    <w:rsid w:val="005070FC"/>
    <w:rsid w:val="00512C5F"/>
    <w:rsid w:val="00513914"/>
    <w:rsid w:val="00517649"/>
    <w:rsid w:val="00520862"/>
    <w:rsid w:val="00522DA2"/>
    <w:rsid w:val="00524487"/>
    <w:rsid w:val="0053254D"/>
    <w:rsid w:val="00533C67"/>
    <w:rsid w:val="00540E36"/>
    <w:rsid w:val="00541581"/>
    <w:rsid w:val="00554852"/>
    <w:rsid w:val="00554C07"/>
    <w:rsid w:val="00556EE5"/>
    <w:rsid w:val="00560DD1"/>
    <w:rsid w:val="005613F4"/>
    <w:rsid w:val="0056163E"/>
    <w:rsid w:val="00563FA6"/>
    <w:rsid w:val="00564D8E"/>
    <w:rsid w:val="0056617C"/>
    <w:rsid w:val="00570EC9"/>
    <w:rsid w:val="005774B0"/>
    <w:rsid w:val="00577A0C"/>
    <w:rsid w:val="00580F69"/>
    <w:rsid w:val="00582802"/>
    <w:rsid w:val="0058529D"/>
    <w:rsid w:val="00596A4D"/>
    <w:rsid w:val="005A2118"/>
    <w:rsid w:val="005A6DEF"/>
    <w:rsid w:val="005B274B"/>
    <w:rsid w:val="005B2936"/>
    <w:rsid w:val="005B65C1"/>
    <w:rsid w:val="005C2584"/>
    <w:rsid w:val="005E523E"/>
    <w:rsid w:val="005E6720"/>
    <w:rsid w:val="005F0641"/>
    <w:rsid w:val="005F3FA3"/>
    <w:rsid w:val="005F5322"/>
    <w:rsid w:val="00601BFC"/>
    <w:rsid w:val="0060329B"/>
    <w:rsid w:val="00604C79"/>
    <w:rsid w:val="0060598E"/>
    <w:rsid w:val="00605FFD"/>
    <w:rsid w:val="006071A3"/>
    <w:rsid w:val="006077E7"/>
    <w:rsid w:val="00627697"/>
    <w:rsid w:val="006340C2"/>
    <w:rsid w:val="00635F92"/>
    <w:rsid w:val="006436CF"/>
    <w:rsid w:val="00646D14"/>
    <w:rsid w:val="006473CB"/>
    <w:rsid w:val="00647FFD"/>
    <w:rsid w:val="0065752D"/>
    <w:rsid w:val="00663B60"/>
    <w:rsid w:val="006650CE"/>
    <w:rsid w:val="00666789"/>
    <w:rsid w:val="00666F14"/>
    <w:rsid w:val="00670D64"/>
    <w:rsid w:val="00671D2E"/>
    <w:rsid w:val="006741C1"/>
    <w:rsid w:val="00675C56"/>
    <w:rsid w:val="00677077"/>
    <w:rsid w:val="0068686D"/>
    <w:rsid w:val="006900C9"/>
    <w:rsid w:val="006925C5"/>
    <w:rsid w:val="006971AE"/>
    <w:rsid w:val="006A0211"/>
    <w:rsid w:val="006A0245"/>
    <w:rsid w:val="006A43C0"/>
    <w:rsid w:val="006A7747"/>
    <w:rsid w:val="006B016A"/>
    <w:rsid w:val="006B46BD"/>
    <w:rsid w:val="006B6CEA"/>
    <w:rsid w:val="006C0FD7"/>
    <w:rsid w:val="006C192D"/>
    <w:rsid w:val="006C2032"/>
    <w:rsid w:val="006C21AA"/>
    <w:rsid w:val="006C2F9C"/>
    <w:rsid w:val="006D2856"/>
    <w:rsid w:val="006D5E4B"/>
    <w:rsid w:val="006D7A38"/>
    <w:rsid w:val="006E1573"/>
    <w:rsid w:val="006E15EF"/>
    <w:rsid w:val="006E2F8E"/>
    <w:rsid w:val="006E715E"/>
    <w:rsid w:val="006F0920"/>
    <w:rsid w:val="006F129B"/>
    <w:rsid w:val="006F1F23"/>
    <w:rsid w:val="006F555A"/>
    <w:rsid w:val="006F5EF2"/>
    <w:rsid w:val="007007E7"/>
    <w:rsid w:val="007010F0"/>
    <w:rsid w:val="007060D9"/>
    <w:rsid w:val="00707BA0"/>
    <w:rsid w:val="007137F9"/>
    <w:rsid w:val="00713D95"/>
    <w:rsid w:val="00716FD1"/>
    <w:rsid w:val="007240DD"/>
    <w:rsid w:val="0072418A"/>
    <w:rsid w:val="00725268"/>
    <w:rsid w:val="0073099B"/>
    <w:rsid w:val="00736371"/>
    <w:rsid w:val="00736809"/>
    <w:rsid w:val="007407B2"/>
    <w:rsid w:val="00741804"/>
    <w:rsid w:val="00746128"/>
    <w:rsid w:val="0074649D"/>
    <w:rsid w:val="007465EA"/>
    <w:rsid w:val="00746F9E"/>
    <w:rsid w:val="00747625"/>
    <w:rsid w:val="007548D6"/>
    <w:rsid w:val="00757FFB"/>
    <w:rsid w:val="007712E4"/>
    <w:rsid w:val="00771F0A"/>
    <w:rsid w:val="007772EA"/>
    <w:rsid w:val="00781541"/>
    <w:rsid w:val="00781EF1"/>
    <w:rsid w:val="00782DB3"/>
    <w:rsid w:val="0078460A"/>
    <w:rsid w:val="00785FA3"/>
    <w:rsid w:val="00786337"/>
    <w:rsid w:val="00786D96"/>
    <w:rsid w:val="00787DCA"/>
    <w:rsid w:val="007940A2"/>
    <w:rsid w:val="007965E7"/>
    <w:rsid w:val="007A0E60"/>
    <w:rsid w:val="007B0C6F"/>
    <w:rsid w:val="007B2130"/>
    <w:rsid w:val="007B342D"/>
    <w:rsid w:val="007C15F5"/>
    <w:rsid w:val="007C2694"/>
    <w:rsid w:val="007C280E"/>
    <w:rsid w:val="007C4361"/>
    <w:rsid w:val="007C7D60"/>
    <w:rsid w:val="007C7FB6"/>
    <w:rsid w:val="007D0279"/>
    <w:rsid w:val="007D1447"/>
    <w:rsid w:val="007D2F4B"/>
    <w:rsid w:val="007D4D73"/>
    <w:rsid w:val="007D57E7"/>
    <w:rsid w:val="007D5F70"/>
    <w:rsid w:val="007E0B53"/>
    <w:rsid w:val="007E6436"/>
    <w:rsid w:val="007E7644"/>
    <w:rsid w:val="007F044F"/>
    <w:rsid w:val="007F4221"/>
    <w:rsid w:val="007F4B43"/>
    <w:rsid w:val="007F71DB"/>
    <w:rsid w:val="007F72AB"/>
    <w:rsid w:val="00802417"/>
    <w:rsid w:val="008050BD"/>
    <w:rsid w:val="00805994"/>
    <w:rsid w:val="0080647E"/>
    <w:rsid w:val="0080689A"/>
    <w:rsid w:val="00814CAB"/>
    <w:rsid w:val="00817B16"/>
    <w:rsid w:val="00825C5F"/>
    <w:rsid w:val="00827D6A"/>
    <w:rsid w:val="00833644"/>
    <w:rsid w:val="00835833"/>
    <w:rsid w:val="0084080E"/>
    <w:rsid w:val="008416A1"/>
    <w:rsid w:val="00843C39"/>
    <w:rsid w:val="008445BC"/>
    <w:rsid w:val="0085039D"/>
    <w:rsid w:val="00852ED5"/>
    <w:rsid w:val="008570FF"/>
    <w:rsid w:val="00867808"/>
    <w:rsid w:val="00867C13"/>
    <w:rsid w:val="008728EB"/>
    <w:rsid w:val="00874341"/>
    <w:rsid w:val="00880DBE"/>
    <w:rsid w:val="0088178C"/>
    <w:rsid w:val="00883EC6"/>
    <w:rsid w:val="00892934"/>
    <w:rsid w:val="008A0A0D"/>
    <w:rsid w:val="008A1110"/>
    <w:rsid w:val="008A56C3"/>
    <w:rsid w:val="008A6F44"/>
    <w:rsid w:val="008A734F"/>
    <w:rsid w:val="008B0764"/>
    <w:rsid w:val="008B0E3D"/>
    <w:rsid w:val="008B5F5A"/>
    <w:rsid w:val="008B68AA"/>
    <w:rsid w:val="008B7035"/>
    <w:rsid w:val="008C255A"/>
    <w:rsid w:val="008C2E9D"/>
    <w:rsid w:val="008C54E7"/>
    <w:rsid w:val="008C7159"/>
    <w:rsid w:val="008D2912"/>
    <w:rsid w:val="008D44DE"/>
    <w:rsid w:val="008D77E9"/>
    <w:rsid w:val="008D7EE3"/>
    <w:rsid w:val="008E1981"/>
    <w:rsid w:val="008E2C43"/>
    <w:rsid w:val="008E6829"/>
    <w:rsid w:val="008F276D"/>
    <w:rsid w:val="008F46C4"/>
    <w:rsid w:val="008F7A8C"/>
    <w:rsid w:val="00902164"/>
    <w:rsid w:val="00907E95"/>
    <w:rsid w:val="009121A5"/>
    <w:rsid w:val="00913C3A"/>
    <w:rsid w:val="00914BE6"/>
    <w:rsid w:val="00916349"/>
    <w:rsid w:val="009208AB"/>
    <w:rsid w:val="00922D8F"/>
    <w:rsid w:val="009269EC"/>
    <w:rsid w:val="00927F84"/>
    <w:rsid w:val="00930175"/>
    <w:rsid w:val="0093052F"/>
    <w:rsid w:val="00934A79"/>
    <w:rsid w:val="00935421"/>
    <w:rsid w:val="00941234"/>
    <w:rsid w:val="00942845"/>
    <w:rsid w:val="00944068"/>
    <w:rsid w:val="00944B48"/>
    <w:rsid w:val="009466A6"/>
    <w:rsid w:val="00971C79"/>
    <w:rsid w:val="0097224E"/>
    <w:rsid w:val="00972512"/>
    <w:rsid w:val="00974A7D"/>
    <w:rsid w:val="00976D71"/>
    <w:rsid w:val="0098094E"/>
    <w:rsid w:val="00985BC7"/>
    <w:rsid w:val="0098683A"/>
    <w:rsid w:val="00987F57"/>
    <w:rsid w:val="00990376"/>
    <w:rsid w:val="009A32FF"/>
    <w:rsid w:val="009B0836"/>
    <w:rsid w:val="009C09DE"/>
    <w:rsid w:val="009C4661"/>
    <w:rsid w:val="009C4A6D"/>
    <w:rsid w:val="009C5200"/>
    <w:rsid w:val="009C6930"/>
    <w:rsid w:val="009C6E29"/>
    <w:rsid w:val="009C7D31"/>
    <w:rsid w:val="009C7FD9"/>
    <w:rsid w:val="009D35A7"/>
    <w:rsid w:val="009D6A42"/>
    <w:rsid w:val="009D74F1"/>
    <w:rsid w:val="009F0FDB"/>
    <w:rsid w:val="009F6C5D"/>
    <w:rsid w:val="009F7143"/>
    <w:rsid w:val="00A021D7"/>
    <w:rsid w:val="00A069F6"/>
    <w:rsid w:val="00A12B8A"/>
    <w:rsid w:val="00A13494"/>
    <w:rsid w:val="00A163C4"/>
    <w:rsid w:val="00A175D1"/>
    <w:rsid w:val="00A2074D"/>
    <w:rsid w:val="00A24F94"/>
    <w:rsid w:val="00A30B5B"/>
    <w:rsid w:val="00A31A42"/>
    <w:rsid w:val="00A4644A"/>
    <w:rsid w:val="00A52604"/>
    <w:rsid w:val="00A5401B"/>
    <w:rsid w:val="00A56608"/>
    <w:rsid w:val="00A63F6E"/>
    <w:rsid w:val="00A7071D"/>
    <w:rsid w:val="00A707DA"/>
    <w:rsid w:val="00A70DCC"/>
    <w:rsid w:val="00A70E43"/>
    <w:rsid w:val="00A712D8"/>
    <w:rsid w:val="00A71591"/>
    <w:rsid w:val="00A74370"/>
    <w:rsid w:val="00A74A96"/>
    <w:rsid w:val="00A74CC8"/>
    <w:rsid w:val="00A91133"/>
    <w:rsid w:val="00A9313C"/>
    <w:rsid w:val="00A96667"/>
    <w:rsid w:val="00A97D14"/>
    <w:rsid w:val="00A97E43"/>
    <w:rsid w:val="00AA049C"/>
    <w:rsid w:val="00AA0D2F"/>
    <w:rsid w:val="00AA1684"/>
    <w:rsid w:val="00AA31DF"/>
    <w:rsid w:val="00AA4D35"/>
    <w:rsid w:val="00AA6DB7"/>
    <w:rsid w:val="00AB3055"/>
    <w:rsid w:val="00AB3723"/>
    <w:rsid w:val="00AB565D"/>
    <w:rsid w:val="00AB7996"/>
    <w:rsid w:val="00AC60A9"/>
    <w:rsid w:val="00AD10B3"/>
    <w:rsid w:val="00AD35C3"/>
    <w:rsid w:val="00AE3262"/>
    <w:rsid w:val="00AF1AEE"/>
    <w:rsid w:val="00AF2E70"/>
    <w:rsid w:val="00AF4821"/>
    <w:rsid w:val="00B00EF9"/>
    <w:rsid w:val="00B03A1F"/>
    <w:rsid w:val="00B0783D"/>
    <w:rsid w:val="00B128B1"/>
    <w:rsid w:val="00B155AF"/>
    <w:rsid w:val="00B279BD"/>
    <w:rsid w:val="00B31BE9"/>
    <w:rsid w:val="00B36CA5"/>
    <w:rsid w:val="00B36D9D"/>
    <w:rsid w:val="00B4500D"/>
    <w:rsid w:val="00B45A88"/>
    <w:rsid w:val="00B51C0A"/>
    <w:rsid w:val="00B51F14"/>
    <w:rsid w:val="00B53AFC"/>
    <w:rsid w:val="00B554B7"/>
    <w:rsid w:val="00B55E02"/>
    <w:rsid w:val="00B5611E"/>
    <w:rsid w:val="00B60D92"/>
    <w:rsid w:val="00B64DDA"/>
    <w:rsid w:val="00B8279C"/>
    <w:rsid w:val="00B82B2B"/>
    <w:rsid w:val="00B85914"/>
    <w:rsid w:val="00B860E3"/>
    <w:rsid w:val="00B903AC"/>
    <w:rsid w:val="00B94CC2"/>
    <w:rsid w:val="00B96008"/>
    <w:rsid w:val="00BA27E5"/>
    <w:rsid w:val="00BA3F0E"/>
    <w:rsid w:val="00BB3EFD"/>
    <w:rsid w:val="00BB5F8D"/>
    <w:rsid w:val="00BC090C"/>
    <w:rsid w:val="00BC25F8"/>
    <w:rsid w:val="00BC3FF1"/>
    <w:rsid w:val="00BC5761"/>
    <w:rsid w:val="00BC77DC"/>
    <w:rsid w:val="00BD522D"/>
    <w:rsid w:val="00BE0CC4"/>
    <w:rsid w:val="00BE2433"/>
    <w:rsid w:val="00BE3645"/>
    <w:rsid w:val="00BE4A2B"/>
    <w:rsid w:val="00BE5AAB"/>
    <w:rsid w:val="00BE6C21"/>
    <w:rsid w:val="00BE72DD"/>
    <w:rsid w:val="00BE72EA"/>
    <w:rsid w:val="00BE7702"/>
    <w:rsid w:val="00BF1A1C"/>
    <w:rsid w:val="00BF23EF"/>
    <w:rsid w:val="00BF2DF2"/>
    <w:rsid w:val="00BF3E04"/>
    <w:rsid w:val="00BF778C"/>
    <w:rsid w:val="00C03E00"/>
    <w:rsid w:val="00C07146"/>
    <w:rsid w:val="00C1212D"/>
    <w:rsid w:val="00C16CA2"/>
    <w:rsid w:val="00C21942"/>
    <w:rsid w:val="00C235C8"/>
    <w:rsid w:val="00C24E31"/>
    <w:rsid w:val="00C25C9A"/>
    <w:rsid w:val="00C2671C"/>
    <w:rsid w:val="00C33D60"/>
    <w:rsid w:val="00C44E79"/>
    <w:rsid w:val="00C50DB8"/>
    <w:rsid w:val="00C52A7F"/>
    <w:rsid w:val="00C53467"/>
    <w:rsid w:val="00C539E3"/>
    <w:rsid w:val="00C5550A"/>
    <w:rsid w:val="00C64A74"/>
    <w:rsid w:val="00C72F38"/>
    <w:rsid w:val="00C76B85"/>
    <w:rsid w:val="00C77FB0"/>
    <w:rsid w:val="00C822C4"/>
    <w:rsid w:val="00C82353"/>
    <w:rsid w:val="00C82945"/>
    <w:rsid w:val="00C82AC9"/>
    <w:rsid w:val="00C83FC5"/>
    <w:rsid w:val="00C848D2"/>
    <w:rsid w:val="00C87083"/>
    <w:rsid w:val="00C872FF"/>
    <w:rsid w:val="00C9132B"/>
    <w:rsid w:val="00C91C6E"/>
    <w:rsid w:val="00C94936"/>
    <w:rsid w:val="00CA22AB"/>
    <w:rsid w:val="00CA3A7F"/>
    <w:rsid w:val="00CA3E43"/>
    <w:rsid w:val="00CA4F63"/>
    <w:rsid w:val="00CB23FB"/>
    <w:rsid w:val="00CB32DB"/>
    <w:rsid w:val="00CB7EA1"/>
    <w:rsid w:val="00CC32C0"/>
    <w:rsid w:val="00CD1A98"/>
    <w:rsid w:val="00CD1BE1"/>
    <w:rsid w:val="00CD342D"/>
    <w:rsid w:val="00CD775E"/>
    <w:rsid w:val="00CE4E6B"/>
    <w:rsid w:val="00CF3ADD"/>
    <w:rsid w:val="00CF60B0"/>
    <w:rsid w:val="00D03CBF"/>
    <w:rsid w:val="00D03F03"/>
    <w:rsid w:val="00D06B80"/>
    <w:rsid w:val="00D06ED6"/>
    <w:rsid w:val="00D07E16"/>
    <w:rsid w:val="00D16E44"/>
    <w:rsid w:val="00D239D5"/>
    <w:rsid w:val="00D23FF9"/>
    <w:rsid w:val="00D2439E"/>
    <w:rsid w:val="00D2657F"/>
    <w:rsid w:val="00D26EBD"/>
    <w:rsid w:val="00D30316"/>
    <w:rsid w:val="00D31AD5"/>
    <w:rsid w:val="00D34F30"/>
    <w:rsid w:val="00D35301"/>
    <w:rsid w:val="00D36D6B"/>
    <w:rsid w:val="00D42494"/>
    <w:rsid w:val="00D4310E"/>
    <w:rsid w:val="00D50B86"/>
    <w:rsid w:val="00D50D91"/>
    <w:rsid w:val="00D60276"/>
    <w:rsid w:val="00D61D82"/>
    <w:rsid w:val="00D61DB7"/>
    <w:rsid w:val="00D62D3C"/>
    <w:rsid w:val="00D674C5"/>
    <w:rsid w:val="00D76030"/>
    <w:rsid w:val="00D77467"/>
    <w:rsid w:val="00D77643"/>
    <w:rsid w:val="00D821A5"/>
    <w:rsid w:val="00D828BD"/>
    <w:rsid w:val="00D8729A"/>
    <w:rsid w:val="00D90E9D"/>
    <w:rsid w:val="00D9185B"/>
    <w:rsid w:val="00D97AD2"/>
    <w:rsid w:val="00DA44B3"/>
    <w:rsid w:val="00DA5B16"/>
    <w:rsid w:val="00DA7760"/>
    <w:rsid w:val="00DB07E2"/>
    <w:rsid w:val="00DB3738"/>
    <w:rsid w:val="00DB54DE"/>
    <w:rsid w:val="00DB616A"/>
    <w:rsid w:val="00DB7DF4"/>
    <w:rsid w:val="00DC4E20"/>
    <w:rsid w:val="00DC7B05"/>
    <w:rsid w:val="00DC7D24"/>
    <w:rsid w:val="00DD1CE6"/>
    <w:rsid w:val="00DD78D2"/>
    <w:rsid w:val="00DE0AB1"/>
    <w:rsid w:val="00DE1DE6"/>
    <w:rsid w:val="00DE2499"/>
    <w:rsid w:val="00DE5B43"/>
    <w:rsid w:val="00DF203D"/>
    <w:rsid w:val="00DF3A63"/>
    <w:rsid w:val="00DF6522"/>
    <w:rsid w:val="00DF75C9"/>
    <w:rsid w:val="00DF78EA"/>
    <w:rsid w:val="00E04BC1"/>
    <w:rsid w:val="00E056EA"/>
    <w:rsid w:val="00E11CEE"/>
    <w:rsid w:val="00E15FB3"/>
    <w:rsid w:val="00E1708A"/>
    <w:rsid w:val="00E35AD0"/>
    <w:rsid w:val="00E36DF0"/>
    <w:rsid w:val="00E40989"/>
    <w:rsid w:val="00E468CD"/>
    <w:rsid w:val="00E5017A"/>
    <w:rsid w:val="00E51B7D"/>
    <w:rsid w:val="00E54369"/>
    <w:rsid w:val="00E557FB"/>
    <w:rsid w:val="00E55977"/>
    <w:rsid w:val="00E56D9D"/>
    <w:rsid w:val="00E63F96"/>
    <w:rsid w:val="00E642F6"/>
    <w:rsid w:val="00E64DC0"/>
    <w:rsid w:val="00E665C7"/>
    <w:rsid w:val="00E66AE7"/>
    <w:rsid w:val="00E70624"/>
    <w:rsid w:val="00E70CE1"/>
    <w:rsid w:val="00E72B30"/>
    <w:rsid w:val="00E753E5"/>
    <w:rsid w:val="00E7628E"/>
    <w:rsid w:val="00E778A2"/>
    <w:rsid w:val="00E80D7C"/>
    <w:rsid w:val="00E84DDB"/>
    <w:rsid w:val="00E875E3"/>
    <w:rsid w:val="00E94682"/>
    <w:rsid w:val="00E95988"/>
    <w:rsid w:val="00E97945"/>
    <w:rsid w:val="00E97ABF"/>
    <w:rsid w:val="00EA0002"/>
    <w:rsid w:val="00EA74A0"/>
    <w:rsid w:val="00EB274D"/>
    <w:rsid w:val="00EB2A29"/>
    <w:rsid w:val="00EC0F8A"/>
    <w:rsid w:val="00EC6C92"/>
    <w:rsid w:val="00EC7A04"/>
    <w:rsid w:val="00ED3C21"/>
    <w:rsid w:val="00ED7182"/>
    <w:rsid w:val="00EE2DEE"/>
    <w:rsid w:val="00EE3442"/>
    <w:rsid w:val="00EE4CC8"/>
    <w:rsid w:val="00EE5EB8"/>
    <w:rsid w:val="00EF5D9B"/>
    <w:rsid w:val="00F00A0C"/>
    <w:rsid w:val="00F0109A"/>
    <w:rsid w:val="00F02562"/>
    <w:rsid w:val="00F11285"/>
    <w:rsid w:val="00F122A5"/>
    <w:rsid w:val="00F125C6"/>
    <w:rsid w:val="00F1314F"/>
    <w:rsid w:val="00F14CB1"/>
    <w:rsid w:val="00F22245"/>
    <w:rsid w:val="00F23F24"/>
    <w:rsid w:val="00F3028A"/>
    <w:rsid w:val="00F31D85"/>
    <w:rsid w:val="00F33542"/>
    <w:rsid w:val="00F341D6"/>
    <w:rsid w:val="00F505C5"/>
    <w:rsid w:val="00F52CA7"/>
    <w:rsid w:val="00F530FE"/>
    <w:rsid w:val="00F617D6"/>
    <w:rsid w:val="00F63574"/>
    <w:rsid w:val="00F64F8A"/>
    <w:rsid w:val="00F6578A"/>
    <w:rsid w:val="00F65C86"/>
    <w:rsid w:val="00F7085E"/>
    <w:rsid w:val="00F711F7"/>
    <w:rsid w:val="00F74884"/>
    <w:rsid w:val="00F762B4"/>
    <w:rsid w:val="00F80162"/>
    <w:rsid w:val="00F83BCA"/>
    <w:rsid w:val="00F845E7"/>
    <w:rsid w:val="00F8496B"/>
    <w:rsid w:val="00F94E8E"/>
    <w:rsid w:val="00F95598"/>
    <w:rsid w:val="00FA5037"/>
    <w:rsid w:val="00FA6230"/>
    <w:rsid w:val="00FB008D"/>
    <w:rsid w:val="00FB2F03"/>
    <w:rsid w:val="00FC0B47"/>
    <w:rsid w:val="00FC76A0"/>
    <w:rsid w:val="00FD006E"/>
    <w:rsid w:val="00FD191D"/>
    <w:rsid w:val="00FD24FB"/>
    <w:rsid w:val="00FD6BE8"/>
    <w:rsid w:val="00FE1C98"/>
    <w:rsid w:val="00FE1E43"/>
    <w:rsid w:val="00FE4AF6"/>
    <w:rsid w:val="00FE56B4"/>
    <w:rsid w:val="00FE7054"/>
    <w:rsid w:val="00FF5EAA"/>
    <w:rsid w:val="00FF6980"/>
    <w:rsid w:val="00FF7F85"/>
    <w:rsid w:val="0218674D"/>
    <w:rsid w:val="02297B25"/>
    <w:rsid w:val="023E6362"/>
    <w:rsid w:val="02B7517C"/>
    <w:rsid w:val="04323E6E"/>
    <w:rsid w:val="04F60A45"/>
    <w:rsid w:val="05120CA5"/>
    <w:rsid w:val="06FB2330"/>
    <w:rsid w:val="074D3623"/>
    <w:rsid w:val="07841546"/>
    <w:rsid w:val="098037C2"/>
    <w:rsid w:val="09A17C56"/>
    <w:rsid w:val="0A31076B"/>
    <w:rsid w:val="0AAC240E"/>
    <w:rsid w:val="0AC058F3"/>
    <w:rsid w:val="0D6F7E61"/>
    <w:rsid w:val="0D7A2C98"/>
    <w:rsid w:val="0E9564AB"/>
    <w:rsid w:val="0FED2FB9"/>
    <w:rsid w:val="10BC578F"/>
    <w:rsid w:val="12471539"/>
    <w:rsid w:val="12802254"/>
    <w:rsid w:val="12905EB9"/>
    <w:rsid w:val="133438E9"/>
    <w:rsid w:val="14221D1C"/>
    <w:rsid w:val="15936CDD"/>
    <w:rsid w:val="1736663D"/>
    <w:rsid w:val="17500564"/>
    <w:rsid w:val="17D40367"/>
    <w:rsid w:val="18383533"/>
    <w:rsid w:val="18C46036"/>
    <w:rsid w:val="19FD48D6"/>
    <w:rsid w:val="1AA8369E"/>
    <w:rsid w:val="1C78070F"/>
    <w:rsid w:val="1C850D11"/>
    <w:rsid w:val="1D921C1E"/>
    <w:rsid w:val="1DEB1048"/>
    <w:rsid w:val="1F7B3169"/>
    <w:rsid w:val="1F9E17E7"/>
    <w:rsid w:val="20545554"/>
    <w:rsid w:val="209B1FB4"/>
    <w:rsid w:val="21B26104"/>
    <w:rsid w:val="22CB3D88"/>
    <w:rsid w:val="231E58E8"/>
    <w:rsid w:val="23EE53EE"/>
    <w:rsid w:val="242E1F04"/>
    <w:rsid w:val="250F3C45"/>
    <w:rsid w:val="26747EF5"/>
    <w:rsid w:val="27AD544D"/>
    <w:rsid w:val="27BB4D7D"/>
    <w:rsid w:val="29591CE1"/>
    <w:rsid w:val="2A6B7798"/>
    <w:rsid w:val="2B2426AA"/>
    <w:rsid w:val="2D451628"/>
    <w:rsid w:val="2EC6148C"/>
    <w:rsid w:val="2EDB478F"/>
    <w:rsid w:val="2EF064BE"/>
    <w:rsid w:val="2F2A7C22"/>
    <w:rsid w:val="2F754C15"/>
    <w:rsid w:val="305A7CEB"/>
    <w:rsid w:val="3399180B"/>
    <w:rsid w:val="34B941F8"/>
    <w:rsid w:val="359E15E2"/>
    <w:rsid w:val="36032F7B"/>
    <w:rsid w:val="387F305F"/>
    <w:rsid w:val="39B6232E"/>
    <w:rsid w:val="39E676B1"/>
    <w:rsid w:val="3A942CA2"/>
    <w:rsid w:val="3C6960FA"/>
    <w:rsid w:val="3D8A26B6"/>
    <w:rsid w:val="3E421DA0"/>
    <w:rsid w:val="3F683E60"/>
    <w:rsid w:val="3FF17CCD"/>
    <w:rsid w:val="40F57895"/>
    <w:rsid w:val="41982E67"/>
    <w:rsid w:val="41D94673"/>
    <w:rsid w:val="41ED0837"/>
    <w:rsid w:val="42230B43"/>
    <w:rsid w:val="4320613A"/>
    <w:rsid w:val="434D31F4"/>
    <w:rsid w:val="435B3335"/>
    <w:rsid w:val="438A0837"/>
    <w:rsid w:val="438F11EC"/>
    <w:rsid w:val="44A666C0"/>
    <w:rsid w:val="44AF00A9"/>
    <w:rsid w:val="44E42E0E"/>
    <w:rsid w:val="46871612"/>
    <w:rsid w:val="46C86EF4"/>
    <w:rsid w:val="49D7606E"/>
    <w:rsid w:val="4BD72A88"/>
    <w:rsid w:val="4D8B58D8"/>
    <w:rsid w:val="4ED82D9F"/>
    <w:rsid w:val="4F0305ED"/>
    <w:rsid w:val="4F0C6E4A"/>
    <w:rsid w:val="50901457"/>
    <w:rsid w:val="50BD5B05"/>
    <w:rsid w:val="51167C5A"/>
    <w:rsid w:val="517C5406"/>
    <w:rsid w:val="520E4D2A"/>
    <w:rsid w:val="528D18E7"/>
    <w:rsid w:val="52ED18B2"/>
    <w:rsid w:val="534B409A"/>
    <w:rsid w:val="53DC50DF"/>
    <w:rsid w:val="54815C87"/>
    <w:rsid w:val="54983866"/>
    <w:rsid w:val="577C04DA"/>
    <w:rsid w:val="58992575"/>
    <w:rsid w:val="58CF5213"/>
    <w:rsid w:val="59AB22A5"/>
    <w:rsid w:val="59BF2720"/>
    <w:rsid w:val="5B06365B"/>
    <w:rsid w:val="5B602438"/>
    <w:rsid w:val="5B8D3163"/>
    <w:rsid w:val="5D6D23D5"/>
    <w:rsid w:val="5DEE7C26"/>
    <w:rsid w:val="5EE14B73"/>
    <w:rsid w:val="5F3A715E"/>
    <w:rsid w:val="5FBA204D"/>
    <w:rsid w:val="608F6033"/>
    <w:rsid w:val="60AC5E39"/>
    <w:rsid w:val="613F6CAD"/>
    <w:rsid w:val="62324BD8"/>
    <w:rsid w:val="63C11BFC"/>
    <w:rsid w:val="63F0603D"/>
    <w:rsid w:val="64C56072"/>
    <w:rsid w:val="65A82BAC"/>
    <w:rsid w:val="65D75707"/>
    <w:rsid w:val="66EB166F"/>
    <w:rsid w:val="677A1E97"/>
    <w:rsid w:val="68572B2F"/>
    <w:rsid w:val="689A7DBD"/>
    <w:rsid w:val="694B23D7"/>
    <w:rsid w:val="6A1F0043"/>
    <w:rsid w:val="6A4A4F70"/>
    <w:rsid w:val="6AE069C0"/>
    <w:rsid w:val="6AE368FC"/>
    <w:rsid w:val="6C21592D"/>
    <w:rsid w:val="6C431C1B"/>
    <w:rsid w:val="6D636B70"/>
    <w:rsid w:val="6D8A7502"/>
    <w:rsid w:val="6D912A39"/>
    <w:rsid w:val="6DA94545"/>
    <w:rsid w:val="6DCF3167"/>
    <w:rsid w:val="6E2A4841"/>
    <w:rsid w:val="6EC46A44"/>
    <w:rsid w:val="6F0E17A1"/>
    <w:rsid w:val="6F566BDC"/>
    <w:rsid w:val="6F825C26"/>
    <w:rsid w:val="705A029E"/>
    <w:rsid w:val="7105779C"/>
    <w:rsid w:val="72F13B80"/>
    <w:rsid w:val="73922C6D"/>
    <w:rsid w:val="73BB62CA"/>
    <w:rsid w:val="743B48E6"/>
    <w:rsid w:val="7608190C"/>
    <w:rsid w:val="76143E0D"/>
    <w:rsid w:val="76432944"/>
    <w:rsid w:val="790A2D70"/>
    <w:rsid w:val="79C67B14"/>
    <w:rsid w:val="7B253CB8"/>
    <w:rsid w:val="7B4F72A3"/>
    <w:rsid w:val="7B5E076E"/>
    <w:rsid w:val="7B7F4FE4"/>
    <w:rsid w:val="7C4371FA"/>
    <w:rsid w:val="7C92252D"/>
    <w:rsid w:val="7DAC6D15"/>
    <w:rsid w:val="7DFF1847"/>
    <w:rsid w:val="7F5F5577"/>
    <w:rsid w:val="7FDB3C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1"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Times New Roman" w:eastAsia="宋体" w:cs="宋体"/>
      <w:sz w:val="22"/>
      <w:szCs w:val="22"/>
      <w:lang w:val="en-US" w:eastAsia="zh-CN" w:bidi="ar-SA"/>
    </w:rPr>
  </w:style>
  <w:style w:type="paragraph" w:styleId="2">
    <w:name w:val="heading 1"/>
    <w:basedOn w:val="1"/>
    <w:next w:val="1"/>
    <w:link w:val="76"/>
    <w:qFormat/>
    <w:uiPriority w:val="9"/>
    <w:pPr>
      <w:ind w:right="406"/>
      <w:jc w:val="center"/>
      <w:outlineLvl w:val="0"/>
    </w:pPr>
    <w:rPr>
      <w:rFonts w:cs="Times New Roman"/>
      <w:b/>
      <w:bCs/>
      <w:sz w:val="72"/>
      <w:szCs w:val="72"/>
    </w:rPr>
  </w:style>
  <w:style w:type="paragraph" w:styleId="3">
    <w:name w:val="heading 2"/>
    <w:basedOn w:val="1"/>
    <w:next w:val="1"/>
    <w:link w:val="77"/>
    <w:qFormat/>
    <w:uiPriority w:val="9"/>
    <w:pPr>
      <w:spacing w:before="26"/>
      <w:ind w:left="2791"/>
      <w:outlineLvl w:val="1"/>
    </w:pPr>
    <w:rPr>
      <w:rFonts w:cs="Times New Roman"/>
      <w:b/>
      <w:bCs/>
      <w:sz w:val="44"/>
      <w:szCs w:val="44"/>
    </w:rPr>
  </w:style>
  <w:style w:type="paragraph" w:styleId="4">
    <w:name w:val="heading 3"/>
    <w:basedOn w:val="1"/>
    <w:next w:val="1"/>
    <w:link w:val="78"/>
    <w:qFormat/>
    <w:uiPriority w:val="9"/>
    <w:pPr>
      <w:spacing w:before="1"/>
      <w:ind w:left="909"/>
      <w:outlineLvl w:val="2"/>
    </w:pPr>
    <w:rPr>
      <w:rFonts w:cs="Times New Roman"/>
      <w:b/>
      <w:bCs/>
      <w:sz w:val="36"/>
      <w:szCs w:val="36"/>
    </w:rPr>
  </w:style>
  <w:style w:type="paragraph" w:styleId="5">
    <w:name w:val="heading 4"/>
    <w:basedOn w:val="1"/>
    <w:next w:val="1"/>
    <w:link w:val="79"/>
    <w:qFormat/>
    <w:uiPriority w:val="9"/>
    <w:pPr>
      <w:outlineLvl w:val="3"/>
    </w:pPr>
    <w:rPr>
      <w:rFonts w:cs="Times New Roman"/>
      <w:b/>
      <w:bCs/>
      <w:sz w:val="32"/>
      <w:szCs w:val="32"/>
    </w:rPr>
  </w:style>
  <w:style w:type="paragraph" w:styleId="6">
    <w:name w:val="heading 5"/>
    <w:basedOn w:val="1"/>
    <w:next w:val="1"/>
    <w:link w:val="80"/>
    <w:qFormat/>
    <w:uiPriority w:val="9"/>
    <w:pPr>
      <w:ind w:left="847"/>
      <w:outlineLvl w:val="4"/>
    </w:pPr>
    <w:rPr>
      <w:rFonts w:cs="Times New Roman"/>
      <w:sz w:val="24"/>
      <w:szCs w:val="24"/>
    </w:rPr>
  </w:style>
  <w:style w:type="paragraph" w:styleId="7">
    <w:name w:val="heading 6"/>
    <w:basedOn w:val="1"/>
    <w:next w:val="1"/>
    <w:link w:val="81"/>
    <w:qFormat/>
    <w:uiPriority w:val="1"/>
    <w:pPr>
      <w:ind w:left="367"/>
      <w:outlineLvl w:val="5"/>
    </w:pPr>
    <w:rPr>
      <w:rFonts w:cs="Times New Roman"/>
      <w:b/>
      <w:bCs/>
      <w:sz w:val="20"/>
      <w:szCs w:val="21"/>
    </w:rPr>
  </w:style>
  <w:style w:type="paragraph" w:styleId="8">
    <w:name w:val="heading 7"/>
    <w:basedOn w:val="1"/>
    <w:next w:val="1"/>
    <w:link w:val="82"/>
    <w:qFormat/>
    <w:uiPriority w:val="9"/>
    <w:pPr>
      <w:keepNext/>
      <w:keepLines/>
      <w:spacing w:before="320" w:after="200"/>
      <w:outlineLvl w:val="6"/>
    </w:pPr>
    <w:rPr>
      <w:rFonts w:ascii="Arial" w:hAnsi="Arial" w:eastAsia="Arial" w:cs="Arial"/>
      <w:b/>
      <w:bCs/>
      <w:i/>
      <w:iCs/>
    </w:rPr>
  </w:style>
  <w:style w:type="paragraph" w:styleId="9">
    <w:name w:val="heading 8"/>
    <w:basedOn w:val="1"/>
    <w:next w:val="1"/>
    <w:link w:val="83"/>
    <w:qFormat/>
    <w:uiPriority w:val="9"/>
    <w:pPr>
      <w:keepNext/>
      <w:keepLines/>
      <w:spacing w:before="320" w:after="200"/>
      <w:outlineLvl w:val="7"/>
    </w:pPr>
    <w:rPr>
      <w:rFonts w:ascii="Arial" w:hAnsi="Arial" w:eastAsia="Arial" w:cs="Arial"/>
      <w:i/>
      <w:iCs/>
    </w:rPr>
  </w:style>
  <w:style w:type="paragraph" w:styleId="10">
    <w:name w:val="heading 9"/>
    <w:basedOn w:val="1"/>
    <w:next w:val="1"/>
    <w:link w:val="84"/>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85"/>
    <w:qFormat/>
    <w:uiPriority w:val="0"/>
    <w:pPr>
      <w:ind w:firstLine="420"/>
    </w:pPr>
    <w:rPr>
      <w:rFonts w:ascii="Times New Roman" w:eastAsia="楷体_GB2312" w:cs="Times New Roman"/>
      <w:sz w:val="21"/>
      <w:szCs w:val="20"/>
    </w:rPr>
  </w:style>
  <w:style w:type="paragraph" w:styleId="13">
    <w:name w:val="caption"/>
    <w:basedOn w:val="1"/>
    <w:next w:val="1"/>
    <w:qFormat/>
    <w:uiPriority w:val="35"/>
    <w:pPr>
      <w:spacing w:line="276" w:lineRule="auto"/>
    </w:pPr>
    <w:rPr>
      <w:b/>
      <w:bCs/>
      <w:color w:val="4F81BD"/>
      <w:sz w:val="18"/>
      <w:szCs w:val="18"/>
    </w:rPr>
  </w:style>
  <w:style w:type="paragraph" w:styleId="14">
    <w:name w:val="Document Map"/>
    <w:basedOn w:val="1"/>
    <w:link w:val="86"/>
    <w:qFormat/>
    <w:uiPriority w:val="99"/>
    <w:pPr>
      <w:framePr w:wrap="around" w:vAnchor="margin" w:hAnchor="text" w:y="1"/>
      <w:widowControl/>
    </w:pPr>
    <w:rPr>
      <w:rFonts w:eastAsia="Arial Unicode MS" w:cs="Times New Roman"/>
      <w:sz w:val="18"/>
      <w:szCs w:val="18"/>
      <w:lang w:eastAsia="en-US"/>
    </w:rPr>
  </w:style>
  <w:style w:type="paragraph" w:styleId="15">
    <w:name w:val="annotation text"/>
    <w:basedOn w:val="1"/>
    <w:link w:val="87"/>
    <w:qFormat/>
    <w:uiPriority w:val="99"/>
    <w:rPr>
      <w:rFonts w:ascii="Calibri" w:hAnsi="Calibri" w:cs="Times New Roman"/>
      <w:sz w:val="20"/>
      <w:szCs w:val="20"/>
    </w:rPr>
  </w:style>
  <w:style w:type="paragraph" w:styleId="16">
    <w:name w:val="Body Text"/>
    <w:basedOn w:val="1"/>
    <w:link w:val="88"/>
    <w:qFormat/>
    <w:uiPriority w:val="0"/>
    <w:pPr>
      <w:spacing w:before="132"/>
      <w:ind w:left="367"/>
    </w:pPr>
    <w:rPr>
      <w:rFonts w:cs="Times New Roman"/>
      <w:sz w:val="20"/>
      <w:szCs w:val="21"/>
    </w:rPr>
  </w:style>
  <w:style w:type="paragraph" w:styleId="17">
    <w:name w:val="Body Text Indent"/>
    <w:basedOn w:val="1"/>
    <w:next w:val="18"/>
    <w:link w:val="89"/>
    <w:unhideWhenUsed/>
    <w:qFormat/>
    <w:uiPriority w:val="99"/>
    <w:pPr>
      <w:spacing w:after="120"/>
      <w:ind w:left="420"/>
    </w:pPr>
    <w:rPr>
      <w:rFonts w:cs="Times New Roman"/>
      <w:szCs w:val="20"/>
    </w:rPr>
  </w:style>
  <w:style w:type="paragraph" w:styleId="18">
    <w:name w:val="envelope return"/>
    <w:basedOn w:val="1"/>
    <w:qFormat/>
    <w:uiPriority w:val="0"/>
    <w:pPr>
      <w:widowControl/>
      <w:spacing w:after="200" w:line="276" w:lineRule="auto"/>
    </w:pPr>
    <w:rPr>
      <w:rFonts w:ascii="Arial" w:hAnsi="Arial" w:cs="Times New Roman"/>
      <w:sz w:val="21"/>
      <w:szCs w:val="24"/>
      <w:lang w:eastAsia="en-US"/>
    </w:rPr>
  </w:style>
  <w:style w:type="paragraph" w:styleId="19">
    <w:name w:val="index 4"/>
    <w:basedOn w:val="1"/>
    <w:next w:val="1"/>
    <w:semiHidden/>
    <w:qFormat/>
    <w:uiPriority w:val="0"/>
    <w:pPr>
      <w:ind w:left="600"/>
      <w:jc w:val="both"/>
    </w:pPr>
    <w:rPr>
      <w:rFonts w:ascii="Calibri" w:hAnsi="Calibri"/>
      <w:sz w:val="21"/>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90"/>
    <w:qFormat/>
    <w:uiPriority w:val="0"/>
    <w:pPr>
      <w:jc w:val="both"/>
    </w:pPr>
    <w:rPr>
      <w:rFonts w:hAnsi="Courier New" w:eastAsia="楷体_GB2312" w:cs="Times New Roman"/>
      <w:sz w:val="26"/>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91"/>
    <w:unhideWhenUsed/>
    <w:qFormat/>
    <w:uiPriority w:val="99"/>
    <w:pPr>
      <w:ind w:left="100"/>
    </w:pPr>
    <w:rPr>
      <w:rFonts w:cs="Times New Roman"/>
    </w:rPr>
  </w:style>
  <w:style w:type="paragraph" w:styleId="25">
    <w:name w:val="endnote text"/>
    <w:basedOn w:val="1"/>
    <w:link w:val="92"/>
    <w:unhideWhenUsed/>
    <w:qFormat/>
    <w:uiPriority w:val="99"/>
    <w:rPr>
      <w:sz w:val="20"/>
    </w:rPr>
  </w:style>
  <w:style w:type="paragraph" w:styleId="26">
    <w:name w:val="Balloon Text"/>
    <w:basedOn w:val="1"/>
    <w:link w:val="93"/>
    <w:unhideWhenUsed/>
    <w:qFormat/>
    <w:uiPriority w:val="99"/>
    <w:rPr>
      <w:sz w:val="18"/>
      <w:szCs w:val="18"/>
    </w:rPr>
  </w:style>
  <w:style w:type="paragraph" w:styleId="27">
    <w:name w:val="footer"/>
    <w:basedOn w:val="1"/>
    <w:link w:val="94"/>
    <w:unhideWhenUsed/>
    <w:qFormat/>
    <w:uiPriority w:val="99"/>
    <w:pPr>
      <w:tabs>
        <w:tab w:val="center" w:pos="4153"/>
        <w:tab w:val="right" w:pos="8306"/>
      </w:tabs>
    </w:pPr>
    <w:rPr>
      <w:rFonts w:cs="Times New Roman"/>
      <w:sz w:val="18"/>
      <w:szCs w:val="18"/>
    </w:rPr>
  </w:style>
  <w:style w:type="paragraph" w:styleId="28">
    <w:name w:val="header"/>
    <w:basedOn w:val="1"/>
    <w:link w:val="95"/>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29">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30">
    <w:name w:val="toc 4"/>
    <w:basedOn w:val="1"/>
    <w:next w:val="1"/>
    <w:unhideWhenUsed/>
    <w:qFormat/>
    <w:uiPriority w:val="39"/>
    <w:pPr>
      <w:spacing w:after="57"/>
      <w:ind w:left="850"/>
    </w:pPr>
  </w:style>
  <w:style w:type="paragraph" w:styleId="31">
    <w:name w:val="Subtitle"/>
    <w:basedOn w:val="1"/>
    <w:next w:val="1"/>
    <w:link w:val="96"/>
    <w:qFormat/>
    <w:uiPriority w:val="11"/>
    <w:pPr>
      <w:spacing w:before="200" w:after="200"/>
    </w:pPr>
    <w:rPr>
      <w:sz w:val="24"/>
      <w:szCs w:val="24"/>
    </w:rPr>
  </w:style>
  <w:style w:type="paragraph" w:styleId="32">
    <w:name w:val="footnote text"/>
    <w:basedOn w:val="1"/>
    <w:link w:val="97"/>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Body Text Indent 3"/>
    <w:basedOn w:val="1"/>
    <w:link w:val="98"/>
    <w:unhideWhenUsed/>
    <w:qFormat/>
    <w:uiPriority w:val="99"/>
    <w:pPr>
      <w:spacing w:after="120"/>
      <w:ind w:left="420"/>
    </w:pPr>
    <w:rPr>
      <w:rFonts w:cs="Times New Roman"/>
      <w:sz w:val="16"/>
      <w:szCs w:val="16"/>
    </w:r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next w:val="1"/>
    <w:link w:val="99"/>
    <w:qFormat/>
    <w:uiPriority w:val="0"/>
    <w:pPr>
      <w:jc w:val="both"/>
    </w:pPr>
    <w:rPr>
      <w:rFonts w:ascii="Times New Roman" w:cs="Times New Roman"/>
      <w:sz w:val="24"/>
      <w:szCs w:val="21"/>
    </w:rPr>
  </w:style>
  <w:style w:type="paragraph" w:styleId="39">
    <w:name w:val="Title"/>
    <w:basedOn w:val="1"/>
    <w:next w:val="1"/>
    <w:link w:val="100"/>
    <w:qFormat/>
    <w:uiPriority w:val="10"/>
    <w:pPr>
      <w:spacing w:before="300" w:after="200"/>
      <w:contextualSpacing/>
    </w:pPr>
    <w:rPr>
      <w:sz w:val="48"/>
      <w:szCs w:val="48"/>
    </w:rPr>
  </w:style>
  <w:style w:type="paragraph" w:styleId="40">
    <w:name w:val="annotation subject"/>
    <w:basedOn w:val="15"/>
    <w:next w:val="15"/>
    <w:link w:val="101"/>
    <w:unhideWhenUsed/>
    <w:qFormat/>
    <w:uiPriority w:val="99"/>
    <w:rPr>
      <w:rFonts w:ascii="宋体" w:hAnsi="Times New Roman"/>
      <w:b/>
      <w:bCs/>
      <w:sz w:val="22"/>
      <w:szCs w:val="22"/>
    </w:rPr>
  </w:style>
  <w:style w:type="paragraph" w:styleId="41">
    <w:name w:val="Body Text First Indent 2"/>
    <w:basedOn w:val="17"/>
    <w:link w:val="102"/>
    <w:unhideWhenUsed/>
    <w:qFormat/>
    <w:uiPriority w:val="99"/>
    <w:pPr>
      <w:ind w:left="200" w:firstLine="420"/>
    </w:pPr>
    <w:rPr>
      <w:rFonts w:cs="宋体"/>
      <w:szCs w:val="22"/>
    </w:rPr>
  </w:style>
  <w:style w:type="table" w:styleId="43">
    <w:name w:val="Table Grid"/>
    <w:basedOn w:val="4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22"/>
    <w:rPr>
      <w:b/>
    </w:rPr>
  </w:style>
  <w:style w:type="character" w:styleId="46">
    <w:name w:val="endnote reference"/>
    <w:unhideWhenUsed/>
    <w:qFormat/>
    <w:uiPriority w:val="99"/>
    <w:rPr>
      <w:vertAlign w:val="superscript"/>
    </w:rPr>
  </w:style>
  <w:style w:type="character" w:styleId="47">
    <w:name w:val="page number"/>
    <w:basedOn w:val="44"/>
    <w:qFormat/>
    <w:uiPriority w:val="0"/>
  </w:style>
  <w:style w:type="character" w:styleId="48">
    <w:name w:val="HTML Typewriter"/>
    <w:qFormat/>
    <w:uiPriority w:val="0"/>
    <w:rPr>
      <w:rFonts w:ascii="黑体" w:hAnsi="Courier New" w:eastAsia="黑体" w:cs="Courier New"/>
      <w:sz w:val="14"/>
      <w:szCs w:val="14"/>
      <w:lang w:val="en-US" w:eastAsia="zh-CN" w:bidi="ar-SA"/>
    </w:rPr>
  </w:style>
  <w:style w:type="character" w:styleId="49">
    <w:name w:val="Hyperlink"/>
    <w:unhideWhenUsed/>
    <w:qFormat/>
    <w:uiPriority w:val="99"/>
    <w:rPr>
      <w:color w:val="0563C1"/>
      <w:u w:val="single"/>
    </w:rPr>
  </w:style>
  <w:style w:type="character" w:styleId="50">
    <w:name w:val="annotation reference"/>
    <w:unhideWhenUsed/>
    <w:qFormat/>
    <w:uiPriority w:val="99"/>
    <w:rPr>
      <w:sz w:val="21"/>
      <w:szCs w:val="21"/>
    </w:rPr>
  </w:style>
  <w:style w:type="character" w:styleId="51">
    <w:name w:val="footnote reference"/>
    <w:unhideWhenUsed/>
    <w:qFormat/>
    <w:uiPriority w:val="99"/>
    <w:rPr>
      <w:vertAlign w:val="superscript"/>
    </w:rPr>
  </w:style>
  <w:style w:type="paragraph" w:styleId="52">
    <w:name w:val="List Paragraph"/>
    <w:basedOn w:val="1"/>
    <w:qFormat/>
    <w:uiPriority w:val="34"/>
    <w:pPr>
      <w:ind w:left="720"/>
      <w:contextualSpacing/>
    </w:pPr>
  </w:style>
  <w:style w:type="paragraph" w:styleId="53">
    <w:name w:val="No Spacing"/>
    <w:qFormat/>
    <w:uiPriority w:val="1"/>
    <w:pPr>
      <w:widowControl w:val="0"/>
      <w:jc w:val="both"/>
    </w:pPr>
    <w:rPr>
      <w:rFonts w:ascii="Times New Roman" w:hAnsi="Times New Roman" w:eastAsia="宋体" w:cs="Times New Roman"/>
      <w:sz w:val="21"/>
      <w:szCs w:val="22"/>
      <w:lang w:val="en-US" w:eastAsia="zh-CN" w:bidi="ar-SA"/>
    </w:rPr>
  </w:style>
  <w:style w:type="paragraph" w:styleId="54">
    <w:name w:val="Quote"/>
    <w:basedOn w:val="1"/>
    <w:next w:val="1"/>
    <w:link w:val="120"/>
    <w:qFormat/>
    <w:uiPriority w:val="29"/>
    <w:pPr>
      <w:ind w:left="720" w:right="720"/>
    </w:pPr>
    <w:rPr>
      <w:i/>
    </w:rPr>
  </w:style>
  <w:style w:type="paragraph" w:styleId="55">
    <w:name w:val="Intense Quote"/>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56">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无格式表格 31"/>
    <w:basedOn w:val="42"/>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无格式表格 41"/>
    <w:basedOn w:val="42"/>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51"/>
    <w:basedOn w:val="42"/>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6">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67">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68">
    <w:name w:val="清单表 1 浅色1"/>
    <w:basedOn w:val="42"/>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9">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1">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3">
    <w:name w:val="清单表 6 彩色1"/>
    <w:basedOn w:val="42"/>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74">
    <w:name w:val="清单表 7 彩色1"/>
    <w:basedOn w:val="42"/>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75">
    <w:name w:val="TOC 标题1"/>
    <w:unhideWhenUsed/>
    <w:qFormat/>
    <w:uiPriority w:val="39"/>
    <w:rPr>
      <w:rFonts w:ascii="Times New Roman" w:hAnsi="Times New Roman" w:eastAsia="宋体" w:cs="Times New Roman"/>
      <w:lang w:val="en-US" w:eastAsia="zh-CN" w:bidi="ar-SA"/>
    </w:rPr>
  </w:style>
  <w:style w:type="character" w:customStyle="1" w:styleId="76">
    <w:name w:val="标题 1 Char"/>
    <w:link w:val="2"/>
    <w:qFormat/>
    <w:uiPriority w:val="9"/>
    <w:rPr>
      <w:rFonts w:ascii="宋体" w:hAnsi="Times New Roman" w:eastAsia="宋体" w:cs="宋体"/>
      <w:b/>
      <w:bCs/>
      <w:sz w:val="72"/>
      <w:szCs w:val="72"/>
    </w:rPr>
  </w:style>
  <w:style w:type="character" w:customStyle="1" w:styleId="77">
    <w:name w:val="标题 2 Char"/>
    <w:link w:val="3"/>
    <w:qFormat/>
    <w:uiPriority w:val="9"/>
    <w:rPr>
      <w:rFonts w:ascii="宋体" w:hAnsi="Times New Roman" w:eastAsia="宋体" w:cs="宋体"/>
      <w:b/>
      <w:bCs/>
      <w:sz w:val="44"/>
      <w:szCs w:val="44"/>
    </w:rPr>
  </w:style>
  <w:style w:type="character" w:customStyle="1" w:styleId="78">
    <w:name w:val="标题 3 Char"/>
    <w:link w:val="4"/>
    <w:qFormat/>
    <w:uiPriority w:val="9"/>
    <w:rPr>
      <w:rFonts w:ascii="宋体" w:hAnsi="Times New Roman" w:eastAsia="宋体" w:cs="宋体"/>
      <w:b/>
      <w:bCs/>
      <w:sz w:val="36"/>
      <w:szCs w:val="36"/>
    </w:rPr>
  </w:style>
  <w:style w:type="character" w:customStyle="1" w:styleId="79">
    <w:name w:val="标题 4 Char1"/>
    <w:link w:val="5"/>
    <w:qFormat/>
    <w:uiPriority w:val="9"/>
    <w:rPr>
      <w:rFonts w:ascii="宋体" w:hAnsi="Times New Roman" w:eastAsia="宋体" w:cs="宋体"/>
      <w:b/>
      <w:bCs/>
      <w:sz w:val="32"/>
      <w:szCs w:val="32"/>
    </w:rPr>
  </w:style>
  <w:style w:type="character" w:customStyle="1" w:styleId="80">
    <w:name w:val="标题 5 Char"/>
    <w:link w:val="6"/>
    <w:qFormat/>
    <w:uiPriority w:val="9"/>
    <w:rPr>
      <w:rFonts w:ascii="宋体" w:hAnsi="Times New Roman" w:eastAsia="宋体" w:cs="宋体"/>
      <w:sz w:val="24"/>
      <w:szCs w:val="24"/>
    </w:rPr>
  </w:style>
  <w:style w:type="character" w:customStyle="1" w:styleId="81">
    <w:name w:val="标题 6 Char"/>
    <w:link w:val="7"/>
    <w:qFormat/>
    <w:uiPriority w:val="1"/>
    <w:rPr>
      <w:rFonts w:ascii="宋体" w:hAnsi="Times New Roman" w:eastAsia="宋体" w:cs="宋体"/>
      <w:b/>
      <w:bCs/>
      <w:szCs w:val="21"/>
    </w:rPr>
  </w:style>
  <w:style w:type="character" w:customStyle="1" w:styleId="82">
    <w:name w:val="标题 7 Char"/>
    <w:link w:val="8"/>
    <w:qFormat/>
    <w:uiPriority w:val="9"/>
    <w:rPr>
      <w:rFonts w:ascii="Arial" w:hAnsi="Arial" w:eastAsia="Arial" w:cs="Arial"/>
      <w:b/>
      <w:bCs/>
      <w:i/>
      <w:iCs/>
      <w:sz w:val="22"/>
      <w:szCs w:val="22"/>
    </w:rPr>
  </w:style>
  <w:style w:type="character" w:customStyle="1" w:styleId="83">
    <w:name w:val="标题 8 Char"/>
    <w:link w:val="9"/>
    <w:qFormat/>
    <w:uiPriority w:val="9"/>
    <w:rPr>
      <w:rFonts w:ascii="Arial" w:hAnsi="Arial" w:eastAsia="Arial" w:cs="Arial"/>
      <w:i/>
      <w:iCs/>
      <w:sz w:val="22"/>
      <w:szCs w:val="22"/>
    </w:rPr>
  </w:style>
  <w:style w:type="character" w:customStyle="1" w:styleId="84">
    <w:name w:val="标题 9 Char"/>
    <w:link w:val="10"/>
    <w:qFormat/>
    <w:uiPriority w:val="9"/>
    <w:rPr>
      <w:rFonts w:ascii="Arial" w:hAnsi="Arial" w:eastAsia="Arial" w:cs="Arial"/>
      <w:i/>
      <w:iCs/>
      <w:sz w:val="21"/>
      <w:szCs w:val="21"/>
    </w:rPr>
  </w:style>
  <w:style w:type="character" w:customStyle="1" w:styleId="85">
    <w:name w:val="正文缩进 Char1"/>
    <w:link w:val="12"/>
    <w:qFormat/>
    <w:uiPriority w:val="0"/>
    <w:rPr>
      <w:rFonts w:ascii="Times New Roman" w:hAnsi="Times New Roman" w:eastAsia="楷体_GB2312"/>
      <w:sz w:val="21"/>
    </w:rPr>
  </w:style>
  <w:style w:type="character" w:customStyle="1" w:styleId="86">
    <w:name w:val="文档结构图 Char"/>
    <w:link w:val="14"/>
    <w:qFormat/>
    <w:uiPriority w:val="99"/>
    <w:rPr>
      <w:rFonts w:ascii="宋体" w:hAnsi="Times New Roman" w:eastAsia="Arial Unicode MS"/>
      <w:sz w:val="18"/>
      <w:szCs w:val="18"/>
      <w:lang w:eastAsia="en-US"/>
    </w:rPr>
  </w:style>
  <w:style w:type="character" w:customStyle="1" w:styleId="87">
    <w:name w:val="批注文字 Char"/>
    <w:link w:val="15"/>
    <w:qFormat/>
    <w:uiPriority w:val="99"/>
    <w:rPr>
      <w:rFonts w:ascii="Calibri" w:hAnsi="Calibri" w:eastAsia="宋体" w:cs="宋体"/>
    </w:rPr>
  </w:style>
  <w:style w:type="character" w:customStyle="1" w:styleId="88">
    <w:name w:val="正文文本 Char1"/>
    <w:link w:val="16"/>
    <w:qFormat/>
    <w:uiPriority w:val="99"/>
    <w:rPr>
      <w:rFonts w:ascii="宋体" w:hAnsi="Times New Roman" w:eastAsia="宋体" w:cs="宋体"/>
      <w:szCs w:val="21"/>
    </w:rPr>
  </w:style>
  <w:style w:type="character" w:customStyle="1" w:styleId="89">
    <w:name w:val="正文文本缩进 Char"/>
    <w:link w:val="17"/>
    <w:qFormat/>
    <w:uiPriority w:val="99"/>
    <w:rPr>
      <w:rFonts w:ascii="宋体" w:hAnsi="Times New Roman" w:eastAsia="宋体" w:cs="宋体"/>
      <w:sz w:val="22"/>
    </w:rPr>
  </w:style>
  <w:style w:type="character" w:customStyle="1" w:styleId="90">
    <w:name w:val="纯文本 Char1"/>
    <w:link w:val="22"/>
    <w:qFormat/>
    <w:uiPriority w:val="0"/>
    <w:rPr>
      <w:rFonts w:ascii="宋体" w:hAnsi="Courier New" w:eastAsia="楷体_GB2312"/>
      <w:sz w:val="26"/>
    </w:rPr>
  </w:style>
  <w:style w:type="character" w:customStyle="1" w:styleId="91">
    <w:name w:val="日期 Char"/>
    <w:link w:val="24"/>
    <w:semiHidden/>
    <w:qFormat/>
    <w:uiPriority w:val="99"/>
    <w:rPr>
      <w:rFonts w:ascii="宋体" w:hAnsi="Times New Roman" w:eastAsia="宋体" w:cs="宋体"/>
      <w:sz w:val="22"/>
      <w:szCs w:val="22"/>
    </w:rPr>
  </w:style>
  <w:style w:type="character" w:customStyle="1" w:styleId="92">
    <w:name w:val="尾注文本 Char"/>
    <w:link w:val="25"/>
    <w:qFormat/>
    <w:uiPriority w:val="99"/>
    <w:rPr>
      <w:sz w:val="20"/>
    </w:rPr>
  </w:style>
  <w:style w:type="character" w:customStyle="1" w:styleId="93">
    <w:name w:val="批注框文本 Char"/>
    <w:link w:val="26"/>
    <w:semiHidden/>
    <w:qFormat/>
    <w:uiPriority w:val="99"/>
    <w:rPr>
      <w:rFonts w:ascii="宋体" w:cs="宋体"/>
      <w:sz w:val="18"/>
      <w:szCs w:val="18"/>
    </w:rPr>
  </w:style>
  <w:style w:type="character" w:customStyle="1" w:styleId="94">
    <w:name w:val="页脚 Char"/>
    <w:link w:val="27"/>
    <w:qFormat/>
    <w:uiPriority w:val="99"/>
    <w:rPr>
      <w:rFonts w:ascii="宋体" w:hAnsi="Times New Roman" w:eastAsia="宋体" w:cs="宋体"/>
      <w:sz w:val="18"/>
      <w:szCs w:val="18"/>
    </w:rPr>
  </w:style>
  <w:style w:type="character" w:customStyle="1" w:styleId="95">
    <w:name w:val="页眉 Char"/>
    <w:link w:val="28"/>
    <w:qFormat/>
    <w:uiPriority w:val="99"/>
    <w:rPr>
      <w:rFonts w:ascii="宋体" w:hAnsi="Times New Roman" w:eastAsia="宋体" w:cs="宋体"/>
      <w:sz w:val="18"/>
      <w:szCs w:val="18"/>
    </w:rPr>
  </w:style>
  <w:style w:type="character" w:customStyle="1" w:styleId="96">
    <w:name w:val="副标题 Char"/>
    <w:link w:val="31"/>
    <w:qFormat/>
    <w:uiPriority w:val="11"/>
    <w:rPr>
      <w:sz w:val="24"/>
      <w:szCs w:val="24"/>
    </w:rPr>
  </w:style>
  <w:style w:type="character" w:customStyle="1" w:styleId="97">
    <w:name w:val="脚注文本 Char"/>
    <w:link w:val="32"/>
    <w:qFormat/>
    <w:uiPriority w:val="99"/>
    <w:rPr>
      <w:sz w:val="18"/>
    </w:rPr>
  </w:style>
  <w:style w:type="character" w:customStyle="1" w:styleId="98">
    <w:name w:val="正文文本缩进 3 Char"/>
    <w:link w:val="34"/>
    <w:qFormat/>
    <w:uiPriority w:val="99"/>
    <w:rPr>
      <w:rFonts w:ascii="宋体" w:hAnsi="Times New Roman" w:eastAsia="宋体" w:cs="宋体"/>
      <w:sz w:val="16"/>
      <w:szCs w:val="16"/>
    </w:rPr>
  </w:style>
  <w:style w:type="character" w:customStyle="1" w:styleId="99">
    <w:name w:val="普通(网站) Char"/>
    <w:link w:val="38"/>
    <w:qFormat/>
    <w:uiPriority w:val="99"/>
    <w:rPr>
      <w:rFonts w:ascii="Times New Roman" w:hAnsi="Times New Roman" w:eastAsia="宋体" w:cs="宋体"/>
      <w:sz w:val="24"/>
      <w:szCs w:val="21"/>
    </w:rPr>
  </w:style>
  <w:style w:type="character" w:customStyle="1" w:styleId="100">
    <w:name w:val="标题 Char"/>
    <w:link w:val="39"/>
    <w:qFormat/>
    <w:uiPriority w:val="10"/>
    <w:rPr>
      <w:sz w:val="48"/>
      <w:szCs w:val="48"/>
    </w:rPr>
  </w:style>
  <w:style w:type="character" w:customStyle="1" w:styleId="101">
    <w:name w:val="批注主题 Char"/>
    <w:link w:val="40"/>
    <w:semiHidden/>
    <w:qFormat/>
    <w:uiPriority w:val="99"/>
    <w:rPr>
      <w:rFonts w:ascii="宋体" w:hAnsi="Times New Roman" w:eastAsia="宋体" w:cs="宋体"/>
      <w:b/>
      <w:bCs/>
      <w:sz w:val="22"/>
      <w:szCs w:val="22"/>
    </w:rPr>
  </w:style>
  <w:style w:type="character" w:customStyle="1" w:styleId="102">
    <w:name w:val="正文首行缩进 2 Char"/>
    <w:link w:val="41"/>
    <w:semiHidden/>
    <w:qFormat/>
    <w:uiPriority w:val="99"/>
    <w:rPr>
      <w:rFonts w:ascii="宋体" w:hAnsi="Times New Roman" w:eastAsia="宋体" w:cs="宋体"/>
      <w:sz w:val="22"/>
      <w:szCs w:val="22"/>
    </w:rPr>
  </w:style>
  <w:style w:type="paragraph" w:customStyle="1" w:styleId="103">
    <w:name w:val="Default"/>
    <w:qFormat/>
    <w:uiPriority w:val="0"/>
    <w:pPr>
      <w:widowControl w:val="0"/>
    </w:pPr>
    <w:rPr>
      <w:rFonts w:ascii="宋体ラ..." w:hAnsi="Times New Roman" w:eastAsia="宋体ラ..." w:cs="宋体ラ..."/>
      <w:color w:val="000000"/>
      <w:sz w:val="24"/>
      <w:szCs w:val="24"/>
      <w:lang w:val="en-US" w:eastAsia="zh-CN" w:bidi="ar-SA"/>
    </w:rPr>
  </w:style>
  <w:style w:type="character" w:customStyle="1" w:styleId="104">
    <w:name w:val="Heading 7 Char"/>
    <w:qFormat/>
    <w:uiPriority w:val="9"/>
    <w:rPr>
      <w:rFonts w:ascii="Arial" w:hAnsi="Arial" w:eastAsia="Arial" w:cs="Arial"/>
      <w:b/>
      <w:bCs/>
      <w:i/>
      <w:iCs/>
      <w:sz w:val="22"/>
      <w:szCs w:val="22"/>
    </w:rPr>
  </w:style>
  <w:style w:type="character" w:customStyle="1" w:styleId="105">
    <w:name w:val="Heading 8 Char"/>
    <w:qFormat/>
    <w:uiPriority w:val="9"/>
    <w:rPr>
      <w:rFonts w:ascii="Arial" w:hAnsi="Arial" w:eastAsia="Arial" w:cs="Arial"/>
      <w:i/>
      <w:iCs/>
      <w:sz w:val="22"/>
      <w:szCs w:val="22"/>
    </w:rPr>
  </w:style>
  <w:style w:type="character" w:customStyle="1" w:styleId="106">
    <w:name w:val="Heading 9 Char"/>
    <w:qFormat/>
    <w:uiPriority w:val="9"/>
    <w:rPr>
      <w:rFonts w:ascii="Arial" w:hAnsi="Arial" w:eastAsia="Arial" w:cs="Arial"/>
      <w:i/>
      <w:iCs/>
      <w:sz w:val="21"/>
      <w:szCs w:val="21"/>
    </w:rPr>
  </w:style>
  <w:style w:type="character" w:customStyle="1" w:styleId="107">
    <w:name w:val="Title Char"/>
    <w:qFormat/>
    <w:uiPriority w:val="10"/>
    <w:rPr>
      <w:sz w:val="48"/>
      <w:szCs w:val="48"/>
    </w:rPr>
  </w:style>
  <w:style w:type="character" w:customStyle="1" w:styleId="108">
    <w:name w:val="Subtitle Char"/>
    <w:qFormat/>
    <w:uiPriority w:val="11"/>
    <w:rPr>
      <w:sz w:val="24"/>
      <w:szCs w:val="24"/>
    </w:rPr>
  </w:style>
  <w:style w:type="character" w:customStyle="1" w:styleId="109">
    <w:name w:val="Quote Char"/>
    <w:qFormat/>
    <w:uiPriority w:val="29"/>
    <w:rPr>
      <w:i/>
    </w:rPr>
  </w:style>
  <w:style w:type="character" w:customStyle="1" w:styleId="110">
    <w:name w:val="Intense Quote Char"/>
    <w:qFormat/>
    <w:uiPriority w:val="30"/>
    <w:rPr>
      <w:i/>
    </w:rPr>
  </w:style>
  <w:style w:type="character" w:customStyle="1" w:styleId="111">
    <w:name w:val="Footnote Text Char"/>
    <w:qFormat/>
    <w:uiPriority w:val="99"/>
    <w:rPr>
      <w:sz w:val="18"/>
    </w:rPr>
  </w:style>
  <w:style w:type="character" w:customStyle="1" w:styleId="112">
    <w:name w:val="Endnote Text Char"/>
    <w:qFormat/>
    <w:uiPriority w:val="99"/>
    <w:rPr>
      <w:sz w:val="20"/>
    </w:rPr>
  </w:style>
  <w:style w:type="paragraph" w:customStyle="1" w:styleId="113">
    <w:name w:val="TOC 标题111"/>
    <w:unhideWhenUsed/>
    <w:qFormat/>
    <w:uiPriority w:val="39"/>
    <w:rPr>
      <w:rFonts w:ascii="Times New Roman" w:hAnsi="Times New Roman" w:eastAsia="宋体" w:cs="Times New Roman"/>
      <w:lang w:val="en-US" w:eastAsia="zh-CN" w:bidi="ar-SA"/>
    </w:rPr>
  </w:style>
  <w:style w:type="character" w:customStyle="1" w:styleId="114">
    <w:name w:val="Heading 1 Char"/>
    <w:qFormat/>
    <w:uiPriority w:val="9"/>
    <w:rPr>
      <w:rFonts w:ascii="Arial" w:hAnsi="Arial" w:eastAsia="Arial" w:cs="Arial"/>
      <w:sz w:val="40"/>
      <w:szCs w:val="40"/>
    </w:rPr>
  </w:style>
  <w:style w:type="character" w:customStyle="1" w:styleId="115">
    <w:name w:val="Heading 2 Char"/>
    <w:qFormat/>
    <w:uiPriority w:val="9"/>
    <w:rPr>
      <w:rFonts w:ascii="Arial" w:hAnsi="Arial" w:eastAsia="Arial" w:cs="Arial"/>
      <w:sz w:val="34"/>
    </w:rPr>
  </w:style>
  <w:style w:type="character" w:customStyle="1" w:styleId="116">
    <w:name w:val="Heading 3 Char"/>
    <w:qFormat/>
    <w:uiPriority w:val="9"/>
    <w:rPr>
      <w:rFonts w:ascii="Arial" w:hAnsi="Arial" w:eastAsia="Arial" w:cs="Arial"/>
      <w:sz w:val="30"/>
      <w:szCs w:val="30"/>
    </w:rPr>
  </w:style>
  <w:style w:type="character" w:customStyle="1" w:styleId="117">
    <w:name w:val="Heading 4 Char"/>
    <w:qFormat/>
    <w:uiPriority w:val="9"/>
    <w:rPr>
      <w:rFonts w:ascii="Arial" w:hAnsi="Arial" w:eastAsia="Arial" w:cs="Arial"/>
      <w:b/>
      <w:bCs/>
      <w:sz w:val="26"/>
      <w:szCs w:val="26"/>
    </w:rPr>
  </w:style>
  <w:style w:type="character" w:customStyle="1" w:styleId="118">
    <w:name w:val="Heading 5 Char"/>
    <w:qFormat/>
    <w:uiPriority w:val="9"/>
    <w:rPr>
      <w:rFonts w:ascii="Arial" w:hAnsi="Arial" w:eastAsia="Arial" w:cs="Arial"/>
      <w:b/>
      <w:bCs/>
      <w:sz w:val="24"/>
      <w:szCs w:val="24"/>
    </w:rPr>
  </w:style>
  <w:style w:type="character" w:customStyle="1" w:styleId="119">
    <w:name w:val="Heading 6 Char"/>
    <w:qFormat/>
    <w:uiPriority w:val="9"/>
    <w:rPr>
      <w:rFonts w:ascii="Arial" w:hAnsi="Arial" w:eastAsia="Arial" w:cs="Arial"/>
      <w:b/>
      <w:bCs/>
      <w:sz w:val="22"/>
      <w:szCs w:val="22"/>
    </w:rPr>
  </w:style>
  <w:style w:type="character" w:customStyle="1" w:styleId="120">
    <w:name w:val="引用 Char"/>
    <w:link w:val="54"/>
    <w:qFormat/>
    <w:uiPriority w:val="29"/>
    <w:rPr>
      <w:i/>
    </w:rPr>
  </w:style>
  <w:style w:type="character" w:customStyle="1" w:styleId="121">
    <w:name w:val="明显引用 Char"/>
    <w:link w:val="55"/>
    <w:qFormat/>
    <w:uiPriority w:val="30"/>
    <w:rPr>
      <w:i/>
    </w:rPr>
  </w:style>
  <w:style w:type="character" w:customStyle="1" w:styleId="122">
    <w:name w:val="Header Char"/>
    <w:qFormat/>
    <w:uiPriority w:val="99"/>
  </w:style>
  <w:style w:type="character" w:customStyle="1" w:styleId="123">
    <w:name w:val="Footer Char"/>
    <w:qFormat/>
    <w:uiPriority w:val="99"/>
  </w:style>
  <w:style w:type="character" w:customStyle="1" w:styleId="124">
    <w:name w:val="Caption Char"/>
    <w:qFormat/>
    <w:uiPriority w:val="99"/>
  </w:style>
  <w:style w:type="table" w:customStyle="1" w:styleId="125">
    <w:name w:val="Table Grid Light"/>
    <w:qFormat/>
    <w:uiPriority w:val="59"/>
    <w:tblPr>
      <w:tblCellMar>
        <w:top w:w="0" w:type="dxa"/>
        <w:left w:w="0" w:type="dxa"/>
        <w:bottom w:w="0" w:type="dxa"/>
        <w:right w:w="0" w:type="dxa"/>
      </w:tblCellMar>
    </w:tblPr>
  </w:style>
  <w:style w:type="table" w:customStyle="1" w:styleId="126">
    <w:name w:val="Grid Table 1 Light - Accent 1"/>
    <w:qFormat/>
    <w:uiPriority w:val="99"/>
    <w:tblPr>
      <w:tblCellMar>
        <w:top w:w="0" w:type="dxa"/>
        <w:left w:w="0" w:type="dxa"/>
        <w:bottom w:w="0" w:type="dxa"/>
        <w:right w:w="0" w:type="dxa"/>
      </w:tblCellMar>
    </w:tblPr>
  </w:style>
  <w:style w:type="table" w:customStyle="1" w:styleId="127">
    <w:name w:val="Grid Table 1 Light - Accent 2"/>
    <w:qFormat/>
    <w:uiPriority w:val="99"/>
    <w:tblPr>
      <w:tblCellMar>
        <w:top w:w="0" w:type="dxa"/>
        <w:left w:w="0" w:type="dxa"/>
        <w:bottom w:w="0" w:type="dxa"/>
        <w:right w:w="0" w:type="dxa"/>
      </w:tblCellMar>
    </w:tblPr>
  </w:style>
  <w:style w:type="table" w:customStyle="1" w:styleId="128">
    <w:name w:val="Grid Table 1 Light - Accent 3"/>
    <w:qFormat/>
    <w:uiPriority w:val="99"/>
    <w:tblPr>
      <w:tblCellMar>
        <w:top w:w="0" w:type="dxa"/>
        <w:left w:w="0" w:type="dxa"/>
        <w:bottom w:w="0" w:type="dxa"/>
        <w:right w:w="0" w:type="dxa"/>
      </w:tblCellMar>
    </w:tblPr>
  </w:style>
  <w:style w:type="table" w:customStyle="1" w:styleId="129">
    <w:name w:val="Grid Table 1 Light - Accent 4"/>
    <w:qFormat/>
    <w:uiPriority w:val="99"/>
    <w:tblPr>
      <w:tblCellMar>
        <w:top w:w="0" w:type="dxa"/>
        <w:left w:w="0" w:type="dxa"/>
        <w:bottom w:w="0" w:type="dxa"/>
        <w:right w:w="0" w:type="dxa"/>
      </w:tblCellMar>
    </w:tblPr>
  </w:style>
  <w:style w:type="table" w:customStyle="1" w:styleId="130">
    <w:name w:val="Grid Table 1 Light - Accent 5"/>
    <w:qFormat/>
    <w:uiPriority w:val="99"/>
    <w:tblPr>
      <w:tblCellMar>
        <w:top w:w="0" w:type="dxa"/>
        <w:left w:w="0" w:type="dxa"/>
        <w:bottom w:w="0" w:type="dxa"/>
        <w:right w:w="0" w:type="dxa"/>
      </w:tblCellMar>
    </w:tblPr>
  </w:style>
  <w:style w:type="table" w:customStyle="1" w:styleId="131">
    <w:name w:val="Grid Table 1 Light - Accent 6"/>
    <w:qFormat/>
    <w:uiPriority w:val="99"/>
    <w:tblPr>
      <w:tblCellMar>
        <w:top w:w="0" w:type="dxa"/>
        <w:left w:w="0" w:type="dxa"/>
        <w:bottom w:w="0" w:type="dxa"/>
        <w:right w:w="0" w:type="dxa"/>
      </w:tblCellMar>
    </w:tblPr>
  </w:style>
  <w:style w:type="table" w:customStyle="1" w:styleId="132">
    <w:name w:val="Grid Table 2 - Accent 1"/>
    <w:qFormat/>
    <w:uiPriority w:val="99"/>
    <w:tblPr>
      <w:tblCellMar>
        <w:top w:w="0" w:type="dxa"/>
        <w:left w:w="0" w:type="dxa"/>
        <w:bottom w:w="0" w:type="dxa"/>
        <w:right w:w="0" w:type="dxa"/>
      </w:tblCellMar>
    </w:tblPr>
  </w:style>
  <w:style w:type="table" w:customStyle="1" w:styleId="133">
    <w:name w:val="Grid Table 2 - Accent 2"/>
    <w:qFormat/>
    <w:uiPriority w:val="99"/>
    <w:tblPr>
      <w:tblCellMar>
        <w:top w:w="0" w:type="dxa"/>
        <w:left w:w="0" w:type="dxa"/>
        <w:bottom w:w="0" w:type="dxa"/>
        <w:right w:w="0" w:type="dxa"/>
      </w:tblCellMar>
    </w:tblPr>
  </w:style>
  <w:style w:type="table" w:customStyle="1" w:styleId="134">
    <w:name w:val="Grid Table 2 - Accent 3"/>
    <w:qFormat/>
    <w:uiPriority w:val="99"/>
    <w:tblPr>
      <w:tblCellMar>
        <w:top w:w="0" w:type="dxa"/>
        <w:left w:w="0" w:type="dxa"/>
        <w:bottom w:w="0" w:type="dxa"/>
        <w:right w:w="0" w:type="dxa"/>
      </w:tblCellMar>
    </w:tblPr>
  </w:style>
  <w:style w:type="table" w:customStyle="1" w:styleId="135">
    <w:name w:val="Grid Table 2 - Accent 4"/>
    <w:qFormat/>
    <w:uiPriority w:val="99"/>
    <w:tblPr>
      <w:tblCellMar>
        <w:top w:w="0" w:type="dxa"/>
        <w:left w:w="0" w:type="dxa"/>
        <w:bottom w:w="0" w:type="dxa"/>
        <w:right w:w="0" w:type="dxa"/>
      </w:tblCellMar>
    </w:tblPr>
  </w:style>
  <w:style w:type="table" w:customStyle="1" w:styleId="136">
    <w:name w:val="Grid Table 2 - Accent 5"/>
    <w:qFormat/>
    <w:uiPriority w:val="99"/>
    <w:tblPr>
      <w:tblCellMar>
        <w:top w:w="0" w:type="dxa"/>
        <w:left w:w="0" w:type="dxa"/>
        <w:bottom w:w="0" w:type="dxa"/>
        <w:right w:w="0" w:type="dxa"/>
      </w:tblCellMar>
    </w:tblPr>
  </w:style>
  <w:style w:type="table" w:customStyle="1" w:styleId="137">
    <w:name w:val="Grid Table 2 - Accent 6"/>
    <w:qFormat/>
    <w:uiPriority w:val="99"/>
    <w:tblPr>
      <w:tblCellMar>
        <w:top w:w="0" w:type="dxa"/>
        <w:left w:w="0" w:type="dxa"/>
        <w:bottom w:w="0" w:type="dxa"/>
        <w:right w:w="0" w:type="dxa"/>
      </w:tblCellMar>
    </w:tblPr>
  </w:style>
  <w:style w:type="table" w:customStyle="1" w:styleId="138">
    <w:name w:val="Grid Table 3 - Accent 1"/>
    <w:qFormat/>
    <w:uiPriority w:val="99"/>
    <w:tblPr>
      <w:tblCellMar>
        <w:top w:w="0" w:type="dxa"/>
        <w:left w:w="0" w:type="dxa"/>
        <w:bottom w:w="0" w:type="dxa"/>
        <w:right w:w="0" w:type="dxa"/>
      </w:tblCellMar>
    </w:tblPr>
  </w:style>
  <w:style w:type="table" w:customStyle="1" w:styleId="139">
    <w:name w:val="Grid Table 3 - Accent 2"/>
    <w:qFormat/>
    <w:uiPriority w:val="99"/>
    <w:tblPr>
      <w:tblCellMar>
        <w:top w:w="0" w:type="dxa"/>
        <w:left w:w="0" w:type="dxa"/>
        <w:bottom w:w="0" w:type="dxa"/>
        <w:right w:w="0" w:type="dxa"/>
      </w:tblCellMar>
    </w:tblPr>
  </w:style>
  <w:style w:type="table" w:customStyle="1" w:styleId="140">
    <w:name w:val="Grid Table 3 - Accent 3"/>
    <w:qFormat/>
    <w:uiPriority w:val="99"/>
    <w:tblPr>
      <w:tblCellMar>
        <w:top w:w="0" w:type="dxa"/>
        <w:left w:w="0" w:type="dxa"/>
        <w:bottom w:w="0" w:type="dxa"/>
        <w:right w:w="0" w:type="dxa"/>
      </w:tblCellMar>
    </w:tblPr>
  </w:style>
  <w:style w:type="table" w:customStyle="1" w:styleId="141">
    <w:name w:val="Grid Table 3 - Accent 4"/>
    <w:qFormat/>
    <w:uiPriority w:val="99"/>
    <w:tblPr>
      <w:tblCellMar>
        <w:top w:w="0" w:type="dxa"/>
        <w:left w:w="0" w:type="dxa"/>
        <w:bottom w:w="0" w:type="dxa"/>
        <w:right w:w="0" w:type="dxa"/>
      </w:tblCellMar>
    </w:tblPr>
  </w:style>
  <w:style w:type="table" w:customStyle="1" w:styleId="142">
    <w:name w:val="Grid Table 3 - Accent 5"/>
    <w:qFormat/>
    <w:uiPriority w:val="99"/>
    <w:tblPr>
      <w:tblCellMar>
        <w:top w:w="0" w:type="dxa"/>
        <w:left w:w="0" w:type="dxa"/>
        <w:bottom w:w="0" w:type="dxa"/>
        <w:right w:w="0" w:type="dxa"/>
      </w:tblCellMar>
    </w:tblPr>
  </w:style>
  <w:style w:type="table" w:customStyle="1" w:styleId="143">
    <w:name w:val="Grid Table 3 - Accent 6"/>
    <w:qFormat/>
    <w:uiPriority w:val="99"/>
    <w:tblPr>
      <w:tblCellMar>
        <w:top w:w="0" w:type="dxa"/>
        <w:left w:w="0" w:type="dxa"/>
        <w:bottom w:w="0" w:type="dxa"/>
        <w:right w:w="0" w:type="dxa"/>
      </w:tblCellMar>
    </w:tblPr>
  </w:style>
  <w:style w:type="table" w:customStyle="1" w:styleId="144">
    <w:name w:val="Grid Table 4 - Accent 1"/>
    <w:qFormat/>
    <w:uiPriority w:val="59"/>
    <w:tblPr>
      <w:tblCellMar>
        <w:top w:w="0" w:type="dxa"/>
        <w:left w:w="0" w:type="dxa"/>
        <w:bottom w:w="0" w:type="dxa"/>
        <w:right w:w="0" w:type="dxa"/>
      </w:tblCellMar>
    </w:tblPr>
  </w:style>
  <w:style w:type="table" w:customStyle="1" w:styleId="145">
    <w:name w:val="Grid Table 4 - Accent 2"/>
    <w:qFormat/>
    <w:uiPriority w:val="59"/>
    <w:tblPr>
      <w:tblCellMar>
        <w:top w:w="0" w:type="dxa"/>
        <w:left w:w="0" w:type="dxa"/>
        <w:bottom w:w="0" w:type="dxa"/>
        <w:right w:w="0" w:type="dxa"/>
      </w:tblCellMar>
    </w:tblPr>
  </w:style>
  <w:style w:type="table" w:customStyle="1" w:styleId="146">
    <w:name w:val="Grid Table 4 - Accent 3"/>
    <w:qFormat/>
    <w:uiPriority w:val="59"/>
    <w:tblPr>
      <w:tblCellMar>
        <w:top w:w="0" w:type="dxa"/>
        <w:left w:w="0" w:type="dxa"/>
        <w:bottom w:w="0" w:type="dxa"/>
        <w:right w:w="0" w:type="dxa"/>
      </w:tblCellMar>
    </w:tblPr>
  </w:style>
  <w:style w:type="table" w:customStyle="1" w:styleId="147">
    <w:name w:val="Grid Table 4 - Accent 4"/>
    <w:qFormat/>
    <w:uiPriority w:val="59"/>
    <w:tblPr>
      <w:tblCellMar>
        <w:top w:w="0" w:type="dxa"/>
        <w:left w:w="0" w:type="dxa"/>
        <w:bottom w:w="0" w:type="dxa"/>
        <w:right w:w="0" w:type="dxa"/>
      </w:tblCellMar>
    </w:tblPr>
  </w:style>
  <w:style w:type="table" w:customStyle="1" w:styleId="148">
    <w:name w:val="Grid Table 4 - Accent 5"/>
    <w:qFormat/>
    <w:uiPriority w:val="59"/>
    <w:tblPr>
      <w:tblCellMar>
        <w:top w:w="0" w:type="dxa"/>
        <w:left w:w="0" w:type="dxa"/>
        <w:bottom w:w="0" w:type="dxa"/>
        <w:right w:w="0" w:type="dxa"/>
      </w:tblCellMar>
    </w:tblPr>
  </w:style>
  <w:style w:type="table" w:customStyle="1" w:styleId="149">
    <w:name w:val="Grid Table 4 - Accent 6"/>
    <w:qFormat/>
    <w:uiPriority w:val="59"/>
    <w:tblPr>
      <w:tblCellMar>
        <w:top w:w="0" w:type="dxa"/>
        <w:left w:w="0" w:type="dxa"/>
        <w:bottom w:w="0" w:type="dxa"/>
        <w:right w:w="0" w:type="dxa"/>
      </w:tblCellMar>
    </w:tblPr>
  </w:style>
  <w:style w:type="table" w:customStyle="1" w:styleId="150">
    <w:name w:val="Grid Table 5 Dark- Accent 1"/>
    <w:qFormat/>
    <w:uiPriority w:val="99"/>
    <w:tblPr>
      <w:tblCellMar>
        <w:top w:w="0" w:type="dxa"/>
        <w:left w:w="0" w:type="dxa"/>
        <w:bottom w:w="0" w:type="dxa"/>
        <w:right w:w="0" w:type="dxa"/>
      </w:tblCellMar>
    </w:tblPr>
  </w:style>
  <w:style w:type="table" w:customStyle="1" w:styleId="151">
    <w:name w:val="Grid Table 5 Dark - Accent 2"/>
    <w:qFormat/>
    <w:uiPriority w:val="99"/>
    <w:tblPr>
      <w:tblCellMar>
        <w:top w:w="0" w:type="dxa"/>
        <w:left w:w="0" w:type="dxa"/>
        <w:bottom w:w="0" w:type="dxa"/>
        <w:right w:w="0" w:type="dxa"/>
      </w:tblCellMar>
    </w:tblPr>
  </w:style>
  <w:style w:type="table" w:customStyle="1" w:styleId="152">
    <w:name w:val="Grid Table 5 Dark - Accent 3"/>
    <w:qFormat/>
    <w:uiPriority w:val="99"/>
    <w:tblPr>
      <w:tblCellMar>
        <w:top w:w="0" w:type="dxa"/>
        <w:left w:w="0" w:type="dxa"/>
        <w:bottom w:w="0" w:type="dxa"/>
        <w:right w:w="0" w:type="dxa"/>
      </w:tblCellMar>
    </w:tblPr>
  </w:style>
  <w:style w:type="table" w:customStyle="1" w:styleId="153">
    <w:name w:val="Grid Table 5 Dark- Accent 4"/>
    <w:qFormat/>
    <w:uiPriority w:val="99"/>
    <w:tblPr>
      <w:tblCellMar>
        <w:top w:w="0" w:type="dxa"/>
        <w:left w:w="0" w:type="dxa"/>
        <w:bottom w:w="0" w:type="dxa"/>
        <w:right w:w="0" w:type="dxa"/>
      </w:tblCellMar>
    </w:tblPr>
  </w:style>
  <w:style w:type="table" w:customStyle="1" w:styleId="154">
    <w:name w:val="Grid Table 5 Dark - Accent 5"/>
    <w:qFormat/>
    <w:uiPriority w:val="99"/>
    <w:tblPr>
      <w:tblCellMar>
        <w:top w:w="0" w:type="dxa"/>
        <w:left w:w="0" w:type="dxa"/>
        <w:bottom w:w="0" w:type="dxa"/>
        <w:right w:w="0" w:type="dxa"/>
      </w:tblCellMar>
    </w:tblPr>
  </w:style>
  <w:style w:type="table" w:customStyle="1" w:styleId="155">
    <w:name w:val="Grid Table 5 Dark - Accent 6"/>
    <w:qFormat/>
    <w:uiPriority w:val="99"/>
    <w:tblPr>
      <w:tblCellMar>
        <w:top w:w="0" w:type="dxa"/>
        <w:left w:w="0" w:type="dxa"/>
        <w:bottom w:w="0" w:type="dxa"/>
        <w:right w:w="0" w:type="dxa"/>
      </w:tblCellMar>
    </w:tblPr>
  </w:style>
  <w:style w:type="table" w:customStyle="1" w:styleId="156">
    <w:name w:val="Grid Table 6 Colorful - Accent 1"/>
    <w:qFormat/>
    <w:uiPriority w:val="99"/>
    <w:tblPr>
      <w:tblCellMar>
        <w:top w:w="0" w:type="dxa"/>
        <w:left w:w="0" w:type="dxa"/>
        <w:bottom w:w="0" w:type="dxa"/>
        <w:right w:w="0" w:type="dxa"/>
      </w:tblCellMar>
    </w:tblPr>
  </w:style>
  <w:style w:type="table" w:customStyle="1" w:styleId="157">
    <w:name w:val="Grid Table 6 Colorful - Accent 2"/>
    <w:qFormat/>
    <w:uiPriority w:val="99"/>
    <w:tblPr>
      <w:tblCellMar>
        <w:top w:w="0" w:type="dxa"/>
        <w:left w:w="0" w:type="dxa"/>
        <w:bottom w:w="0" w:type="dxa"/>
        <w:right w:w="0" w:type="dxa"/>
      </w:tblCellMar>
    </w:tblPr>
  </w:style>
  <w:style w:type="table" w:customStyle="1" w:styleId="158">
    <w:name w:val="Grid Table 6 Colorful - Accent 3"/>
    <w:qFormat/>
    <w:uiPriority w:val="99"/>
    <w:tblPr>
      <w:tblCellMar>
        <w:top w:w="0" w:type="dxa"/>
        <w:left w:w="0" w:type="dxa"/>
        <w:bottom w:w="0" w:type="dxa"/>
        <w:right w:w="0" w:type="dxa"/>
      </w:tblCellMar>
    </w:tblPr>
  </w:style>
  <w:style w:type="table" w:customStyle="1" w:styleId="159">
    <w:name w:val="Grid Table 6 Colorful - Accent 4"/>
    <w:qFormat/>
    <w:uiPriority w:val="99"/>
    <w:tblPr>
      <w:tblCellMar>
        <w:top w:w="0" w:type="dxa"/>
        <w:left w:w="0" w:type="dxa"/>
        <w:bottom w:w="0" w:type="dxa"/>
        <w:right w:w="0" w:type="dxa"/>
      </w:tblCellMar>
    </w:tblPr>
  </w:style>
  <w:style w:type="table" w:customStyle="1" w:styleId="160">
    <w:name w:val="Grid Table 6 Colorful - Accent 5"/>
    <w:qFormat/>
    <w:uiPriority w:val="99"/>
    <w:tblPr>
      <w:tblCellMar>
        <w:top w:w="0" w:type="dxa"/>
        <w:left w:w="0" w:type="dxa"/>
        <w:bottom w:w="0" w:type="dxa"/>
        <w:right w:w="0" w:type="dxa"/>
      </w:tblCellMar>
    </w:tblPr>
  </w:style>
  <w:style w:type="table" w:customStyle="1" w:styleId="161">
    <w:name w:val="Grid Table 6 Colorful - Accent 6"/>
    <w:qFormat/>
    <w:uiPriority w:val="99"/>
    <w:tblPr>
      <w:tblCellMar>
        <w:top w:w="0" w:type="dxa"/>
        <w:left w:w="0" w:type="dxa"/>
        <w:bottom w:w="0" w:type="dxa"/>
        <w:right w:w="0" w:type="dxa"/>
      </w:tblCellMar>
    </w:tblPr>
  </w:style>
  <w:style w:type="table" w:customStyle="1" w:styleId="162">
    <w:name w:val="Grid Table 7 Colorful - Accent 1"/>
    <w:qFormat/>
    <w:uiPriority w:val="99"/>
    <w:tblPr>
      <w:tblCellMar>
        <w:top w:w="0" w:type="dxa"/>
        <w:left w:w="0" w:type="dxa"/>
        <w:bottom w:w="0" w:type="dxa"/>
        <w:right w:w="0" w:type="dxa"/>
      </w:tblCellMar>
    </w:tblPr>
  </w:style>
  <w:style w:type="table" w:customStyle="1" w:styleId="163">
    <w:name w:val="Grid Table 7 Colorful - Accent 2"/>
    <w:qFormat/>
    <w:uiPriority w:val="99"/>
    <w:tblPr>
      <w:tblCellMar>
        <w:top w:w="0" w:type="dxa"/>
        <w:left w:w="0" w:type="dxa"/>
        <w:bottom w:w="0" w:type="dxa"/>
        <w:right w:w="0" w:type="dxa"/>
      </w:tblCellMar>
    </w:tblPr>
  </w:style>
  <w:style w:type="table" w:customStyle="1" w:styleId="164">
    <w:name w:val="Grid Table 7 Colorful - Accent 3"/>
    <w:qFormat/>
    <w:uiPriority w:val="99"/>
    <w:tblPr>
      <w:tblCellMar>
        <w:top w:w="0" w:type="dxa"/>
        <w:left w:w="0" w:type="dxa"/>
        <w:bottom w:w="0" w:type="dxa"/>
        <w:right w:w="0" w:type="dxa"/>
      </w:tblCellMar>
    </w:tblPr>
  </w:style>
  <w:style w:type="table" w:customStyle="1" w:styleId="165">
    <w:name w:val="Grid Table 7 Colorful - Accent 4"/>
    <w:qFormat/>
    <w:uiPriority w:val="99"/>
    <w:tblPr>
      <w:tblCellMar>
        <w:top w:w="0" w:type="dxa"/>
        <w:left w:w="0" w:type="dxa"/>
        <w:bottom w:w="0" w:type="dxa"/>
        <w:right w:w="0" w:type="dxa"/>
      </w:tblCellMar>
    </w:tblPr>
  </w:style>
  <w:style w:type="table" w:customStyle="1" w:styleId="166">
    <w:name w:val="Grid Table 7 Colorful - Accent 5"/>
    <w:qFormat/>
    <w:uiPriority w:val="99"/>
    <w:tblPr>
      <w:tblCellMar>
        <w:top w:w="0" w:type="dxa"/>
        <w:left w:w="0" w:type="dxa"/>
        <w:bottom w:w="0" w:type="dxa"/>
        <w:right w:w="0" w:type="dxa"/>
      </w:tblCellMar>
    </w:tblPr>
  </w:style>
  <w:style w:type="table" w:customStyle="1" w:styleId="167">
    <w:name w:val="Grid Table 7 Colorful - Accent 6"/>
    <w:qFormat/>
    <w:uiPriority w:val="99"/>
    <w:tblPr>
      <w:tblCellMar>
        <w:top w:w="0" w:type="dxa"/>
        <w:left w:w="0" w:type="dxa"/>
        <w:bottom w:w="0" w:type="dxa"/>
        <w:right w:w="0" w:type="dxa"/>
      </w:tblCellMar>
    </w:tblPr>
  </w:style>
  <w:style w:type="table" w:customStyle="1" w:styleId="168">
    <w:name w:val="List Table 1 Light - Accent 1"/>
    <w:qFormat/>
    <w:uiPriority w:val="99"/>
    <w:tblPr>
      <w:tblCellMar>
        <w:top w:w="0" w:type="dxa"/>
        <w:left w:w="0" w:type="dxa"/>
        <w:bottom w:w="0" w:type="dxa"/>
        <w:right w:w="0" w:type="dxa"/>
      </w:tblCellMar>
    </w:tblPr>
  </w:style>
  <w:style w:type="table" w:customStyle="1" w:styleId="169">
    <w:name w:val="List Table 1 Light - Accent 2"/>
    <w:qFormat/>
    <w:uiPriority w:val="99"/>
    <w:tblPr>
      <w:tblCellMar>
        <w:top w:w="0" w:type="dxa"/>
        <w:left w:w="0" w:type="dxa"/>
        <w:bottom w:w="0" w:type="dxa"/>
        <w:right w:w="0" w:type="dxa"/>
      </w:tblCellMar>
    </w:tblPr>
  </w:style>
  <w:style w:type="table" w:customStyle="1" w:styleId="170">
    <w:name w:val="List Table 1 Light - Accent 3"/>
    <w:qFormat/>
    <w:uiPriority w:val="99"/>
    <w:tblPr>
      <w:tblCellMar>
        <w:top w:w="0" w:type="dxa"/>
        <w:left w:w="0" w:type="dxa"/>
        <w:bottom w:w="0" w:type="dxa"/>
        <w:right w:w="0" w:type="dxa"/>
      </w:tblCellMar>
    </w:tblPr>
  </w:style>
  <w:style w:type="table" w:customStyle="1" w:styleId="171">
    <w:name w:val="List Table 1 Light - Accent 4"/>
    <w:qFormat/>
    <w:uiPriority w:val="99"/>
    <w:tblPr>
      <w:tblCellMar>
        <w:top w:w="0" w:type="dxa"/>
        <w:left w:w="0" w:type="dxa"/>
        <w:bottom w:w="0" w:type="dxa"/>
        <w:right w:w="0" w:type="dxa"/>
      </w:tblCellMar>
    </w:tblPr>
  </w:style>
  <w:style w:type="table" w:customStyle="1" w:styleId="172">
    <w:name w:val="List Table 1 Light - Accent 5"/>
    <w:qFormat/>
    <w:uiPriority w:val="99"/>
    <w:tblPr>
      <w:tblCellMar>
        <w:top w:w="0" w:type="dxa"/>
        <w:left w:w="0" w:type="dxa"/>
        <w:bottom w:w="0" w:type="dxa"/>
        <w:right w:w="0" w:type="dxa"/>
      </w:tblCellMar>
    </w:tblPr>
  </w:style>
  <w:style w:type="table" w:customStyle="1" w:styleId="173">
    <w:name w:val="List Table 1 Light - Accent 6"/>
    <w:qFormat/>
    <w:uiPriority w:val="99"/>
    <w:tblPr>
      <w:tblCellMar>
        <w:top w:w="0" w:type="dxa"/>
        <w:left w:w="0" w:type="dxa"/>
        <w:bottom w:w="0" w:type="dxa"/>
        <w:right w:w="0" w:type="dxa"/>
      </w:tblCellMar>
    </w:tblPr>
  </w:style>
  <w:style w:type="table" w:customStyle="1" w:styleId="174">
    <w:name w:val="List Table 2 - Accent 1"/>
    <w:qFormat/>
    <w:uiPriority w:val="99"/>
    <w:tblPr>
      <w:tblCellMar>
        <w:top w:w="0" w:type="dxa"/>
        <w:left w:w="0" w:type="dxa"/>
        <w:bottom w:w="0" w:type="dxa"/>
        <w:right w:w="0" w:type="dxa"/>
      </w:tblCellMar>
    </w:tblPr>
  </w:style>
  <w:style w:type="table" w:customStyle="1" w:styleId="175">
    <w:name w:val="List Table 2 - Accent 2"/>
    <w:qFormat/>
    <w:uiPriority w:val="99"/>
    <w:tblPr>
      <w:tblCellMar>
        <w:top w:w="0" w:type="dxa"/>
        <w:left w:w="0" w:type="dxa"/>
        <w:bottom w:w="0" w:type="dxa"/>
        <w:right w:w="0" w:type="dxa"/>
      </w:tblCellMar>
    </w:tblPr>
  </w:style>
  <w:style w:type="table" w:customStyle="1" w:styleId="176">
    <w:name w:val="List Table 2 - Accent 3"/>
    <w:qFormat/>
    <w:uiPriority w:val="99"/>
    <w:tblPr>
      <w:tblCellMar>
        <w:top w:w="0" w:type="dxa"/>
        <w:left w:w="0" w:type="dxa"/>
        <w:bottom w:w="0" w:type="dxa"/>
        <w:right w:w="0" w:type="dxa"/>
      </w:tblCellMar>
    </w:tblPr>
  </w:style>
  <w:style w:type="table" w:customStyle="1" w:styleId="177">
    <w:name w:val="List Table 2 - Accent 4"/>
    <w:qFormat/>
    <w:uiPriority w:val="99"/>
    <w:tblPr>
      <w:tblCellMar>
        <w:top w:w="0" w:type="dxa"/>
        <w:left w:w="0" w:type="dxa"/>
        <w:bottom w:w="0" w:type="dxa"/>
        <w:right w:w="0" w:type="dxa"/>
      </w:tblCellMar>
    </w:tblPr>
  </w:style>
  <w:style w:type="table" w:customStyle="1" w:styleId="178">
    <w:name w:val="List Table 2 - Accent 5"/>
    <w:qFormat/>
    <w:uiPriority w:val="99"/>
    <w:tblPr>
      <w:tblCellMar>
        <w:top w:w="0" w:type="dxa"/>
        <w:left w:w="0" w:type="dxa"/>
        <w:bottom w:w="0" w:type="dxa"/>
        <w:right w:w="0" w:type="dxa"/>
      </w:tblCellMar>
    </w:tblPr>
  </w:style>
  <w:style w:type="table" w:customStyle="1" w:styleId="179">
    <w:name w:val="List Table 2 - Accent 6"/>
    <w:qFormat/>
    <w:uiPriority w:val="99"/>
    <w:tblPr>
      <w:tblCellMar>
        <w:top w:w="0" w:type="dxa"/>
        <w:left w:w="0" w:type="dxa"/>
        <w:bottom w:w="0" w:type="dxa"/>
        <w:right w:w="0" w:type="dxa"/>
      </w:tblCellMar>
    </w:tblPr>
  </w:style>
  <w:style w:type="table" w:customStyle="1" w:styleId="180">
    <w:name w:val="List Table 3 - Accent 1"/>
    <w:qFormat/>
    <w:uiPriority w:val="99"/>
    <w:tblPr>
      <w:tblCellMar>
        <w:top w:w="0" w:type="dxa"/>
        <w:left w:w="0" w:type="dxa"/>
        <w:bottom w:w="0" w:type="dxa"/>
        <w:right w:w="0" w:type="dxa"/>
      </w:tblCellMar>
    </w:tblPr>
  </w:style>
  <w:style w:type="table" w:customStyle="1" w:styleId="181">
    <w:name w:val="List Table 3 - Accent 2"/>
    <w:qFormat/>
    <w:uiPriority w:val="99"/>
    <w:tblPr>
      <w:tblCellMar>
        <w:top w:w="0" w:type="dxa"/>
        <w:left w:w="0" w:type="dxa"/>
        <w:bottom w:w="0" w:type="dxa"/>
        <w:right w:w="0" w:type="dxa"/>
      </w:tblCellMar>
    </w:tblPr>
  </w:style>
  <w:style w:type="table" w:customStyle="1" w:styleId="182">
    <w:name w:val="List Table 3 - Accent 3"/>
    <w:qFormat/>
    <w:uiPriority w:val="99"/>
    <w:tblPr>
      <w:tblCellMar>
        <w:top w:w="0" w:type="dxa"/>
        <w:left w:w="0" w:type="dxa"/>
        <w:bottom w:w="0" w:type="dxa"/>
        <w:right w:w="0" w:type="dxa"/>
      </w:tblCellMar>
    </w:tblPr>
  </w:style>
  <w:style w:type="table" w:customStyle="1" w:styleId="183">
    <w:name w:val="List Table 3 - Accent 4"/>
    <w:qFormat/>
    <w:uiPriority w:val="99"/>
    <w:tblPr>
      <w:tblCellMar>
        <w:top w:w="0" w:type="dxa"/>
        <w:left w:w="0" w:type="dxa"/>
        <w:bottom w:w="0" w:type="dxa"/>
        <w:right w:w="0" w:type="dxa"/>
      </w:tblCellMar>
    </w:tblPr>
  </w:style>
  <w:style w:type="table" w:customStyle="1" w:styleId="184">
    <w:name w:val="List Table 3 - Accent 5"/>
    <w:qFormat/>
    <w:uiPriority w:val="99"/>
    <w:tblPr>
      <w:tblCellMar>
        <w:top w:w="0" w:type="dxa"/>
        <w:left w:w="0" w:type="dxa"/>
        <w:bottom w:w="0" w:type="dxa"/>
        <w:right w:w="0" w:type="dxa"/>
      </w:tblCellMar>
    </w:tblPr>
  </w:style>
  <w:style w:type="table" w:customStyle="1" w:styleId="185">
    <w:name w:val="List Table 3 - Accent 6"/>
    <w:qFormat/>
    <w:uiPriority w:val="99"/>
    <w:tblPr>
      <w:tblCellMar>
        <w:top w:w="0" w:type="dxa"/>
        <w:left w:w="0" w:type="dxa"/>
        <w:bottom w:w="0" w:type="dxa"/>
        <w:right w:w="0" w:type="dxa"/>
      </w:tblCellMar>
    </w:tblPr>
  </w:style>
  <w:style w:type="table" w:customStyle="1" w:styleId="186">
    <w:name w:val="List Table 4 - Accent 1"/>
    <w:qFormat/>
    <w:uiPriority w:val="99"/>
    <w:tblPr>
      <w:tblCellMar>
        <w:top w:w="0" w:type="dxa"/>
        <w:left w:w="0" w:type="dxa"/>
        <w:bottom w:w="0" w:type="dxa"/>
        <w:right w:w="0" w:type="dxa"/>
      </w:tblCellMar>
    </w:tblPr>
  </w:style>
  <w:style w:type="table" w:customStyle="1" w:styleId="187">
    <w:name w:val="List Table 4 - Accent 2"/>
    <w:qFormat/>
    <w:uiPriority w:val="99"/>
    <w:tblPr>
      <w:tblCellMar>
        <w:top w:w="0" w:type="dxa"/>
        <w:left w:w="0" w:type="dxa"/>
        <w:bottom w:w="0" w:type="dxa"/>
        <w:right w:w="0" w:type="dxa"/>
      </w:tblCellMar>
    </w:tblPr>
  </w:style>
  <w:style w:type="table" w:customStyle="1" w:styleId="188">
    <w:name w:val="List Table 4 - Accent 3"/>
    <w:qFormat/>
    <w:uiPriority w:val="99"/>
    <w:tblPr>
      <w:tblCellMar>
        <w:top w:w="0" w:type="dxa"/>
        <w:left w:w="0" w:type="dxa"/>
        <w:bottom w:w="0" w:type="dxa"/>
        <w:right w:w="0" w:type="dxa"/>
      </w:tblCellMar>
    </w:tblPr>
  </w:style>
  <w:style w:type="table" w:customStyle="1" w:styleId="189">
    <w:name w:val="List Table 4 - Accent 4"/>
    <w:qFormat/>
    <w:uiPriority w:val="99"/>
    <w:tblPr>
      <w:tblCellMar>
        <w:top w:w="0" w:type="dxa"/>
        <w:left w:w="0" w:type="dxa"/>
        <w:bottom w:w="0" w:type="dxa"/>
        <w:right w:w="0" w:type="dxa"/>
      </w:tblCellMar>
    </w:tblPr>
  </w:style>
  <w:style w:type="table" w:customStyle="1" w:styleId="190">
    <w:name w:val="List Table 4 - Accent 5"/>
    <w:qFormat/>
    <w:uiPriority w:val="99"/>
    <w:tblPr>
      <w:tblCellMar>
        <w:top w:w="0" w:type="dxa"/>
        <w:left w:w="0" w:type="dxa"/>
        <w:bottom w:w="0" w:type="dxa"/>
        <w:right w:w="0" w:type="dxa"/>
      </w:tblCellMar>
    </w:tblPr>
  </w:style>
  <w:style w:type="table" w:customStyle="1" w:styleId="191">
    <w:name w:val="List Table 4 - Accent 6"/>
    <w:qFormat/>
    <w:uiPriority w:val="99"/>
    <w:tblPr>
      <w:tblCellMar>
        <w:top w:w="0" w:type="dxa"/>
        <w:left w:w="0" w:type="dxa"/>
        <w:bottom w:w="0" w:type="dxa"/>
        <w:right w:w="0" w:type="dxa"/>
      </w:tblCellMar>
    </w:tblPr>
  </w:style>
  <w:style w:type="table" w:customStyle="1" w:styleId="192">
    <w:name w:val="List Table 5 Dark - Accent 1"/>
    <w:qFormat/>
    <w:uiPriority w:val="99"/>
    <w:tblPr>
      <w:tblCellMar>
        <w:top w:w="0" w:type="dxa"/>
        <w:left w:w="0" w:type="dxa"/>
        <w:bottom w:w="0" w:type="dxa"/>
        <w:right w:w="0" w:type="dxa"/>
      </w:tblCellMar>
    </w:tblPr>
  </w:style>
  <w:style w:type="table" w:customStyle="1" w:styleId="193">
    <w:name w:val="List Table 5 Dark - Accent 2"/>
    <w:qFormat/>
    <w:uiPriority w:val="99"/>
    <w:tblPr>
      <w:tblCellMar>
        <w:top w:w="0" w:type="dxa"/>
        <w:left w:w="0" w:type="dxa"/>
        <w:bottom w:w="0" w:type="dxa"/>
        <w:right w:w="0" w:type="dxa"/>
      </w:tblCellMar>
    </w:tblPr>
  </w:style>
  <w:style w:type="table" w:customStyle="1" w:styleId="194">
    <w:name w:val="List Table 5 Dark - Accent 3"/>
    <w:qFormat/>
    <w:uiPriority w:val="99"/>
    <w:tblPr>
      <w:tblCellMar>
        <w:top w:w="0" w:type="dxa"/>
        <w:left w:w="0" w:type="dxa"/>
        <w:bottom w:w="0" w:type="dxa"/>
        <w:right w:w="0" w:type="dxa"/>
      </w:tblCellMar>
    </w:tblPr>
  </w:style>
  <w:style w:type="table" w:customStyle="1" w:styleId="195">
    <w:name w:val="List Table 5 Dark - Accent 4"/>
    <w:qFormat/>
    <w:uiPriority w:val="99"/>
    <w:tblPr>
      <w:tblCellMar>
        <w:top w:w="0" w:type="dxa"/>
        <w:left w:w="0" w:type="dxa"/>
        <w:bottom w:w="0" w:type="dxa"/>
        <w:right w:w="0" w:type="dxa"/>
      </w:tblCellMar>
    </w:tblPr>
  </w:style>
  <w:style w:type="table" w:customStyle="1" w:styleId="196">
    <w:name w:val="List Table 5 Dark - Accent 5"/>
    <w:qFormat/>
    <w:uiPriority w:val="99"/>
    <w:tblPr>
      <w:tblCellMar>
        <w:top w:w="0" w:type="dxa"/>
        <w:left w:w="0" w:type="dxa"/>
        <w:bottom w:w="0" w:type="dxa"/>
        <w:right w:w="0" w:type="dxa"/>
      </w:tblCellMar>
    </w:tblPr>
  </w:style>
  <w:style w:type="table" w:customStyle="1" w:styleId="197">
    <w:name w:val="List Table 5 Dark - Accent 6"/>
    <w:qFormat/>
    <w:uiPriority w:val="99"/>
    <w:tblPr>
      <w:tblCellMar>
        <w:top w:w="0" w:type="dxa"/>
        <w:left w:w="0" w:type="dxa"/>
        <w:bottom w:w="0" w:type="dxa"/>
        <w:right w:w="0" w:type="dxa"/>
      </w:tblCellMar>
    </w:tblPr>
  </w:style>
  <w:style w:type="table" w:customStyle="1" w:styleId="198">
    <w:name w:val="List Table 6 Colorful - Accent 1"/>
    <w:qFormat/>
    <w:uiPriority w:val="99"/>
    <w:tblPr>
      <w:tblCellMar>
        <w:top w:w="0" w:type="dxa"/>
        <w:left w:w="0" w:type="dxa"/>
        <w:bottom w:w="0" w:type="dxa"/>
        <w:right w:w="0" w:type="dxa"/>
      </w:tblCellMar>
    </w:tblPr>
  </w:style>
  <w:style w:type="table" w:customStyle="1" w:styleId="199">
    <w:name w:val="List Table 6 Colorful - Accent 2"/>
    <w:qFormat/>
    <w:uiPriority w:val="99"/>
    <w:tblPr>
      <w:tblCellMar>
        <w:top w:w="0" w:type="dxa"/>
        <w:left w:w="0" w:type="dxa"/>
        <w:bottom w:w="0" w:type="dxa"/>
        <w:right w:w="0" w:type="dxa"/>
      </w:tblCellMar>
    </w:tblPr>
  </w:style>
  <w:style w:type="table" w:customStyle="1" w:styleId="200">
    <w:name w:val="List Table 6 Colorful - Accent 3"/>
    <w:qFormat/>
    <w:uiPriority w:val="99"/>
    <w:tblPr>
      <w:tblCellMar>
        <w:top w:w="0" w:type="dxa"/>
        <w:left w:w="0" w:type="dxa"/>
        <w:bottom w:w="0" w:type="dxa"/>
        <w:right w:w="0" w:type="dxa"/>
      </w:tblCellMar>
    </w:tblPr>
  </w:style>
  <w:style w:type="table" w:customStyle="1" w:styleId="201">
    <w:name w:val="List Table 6 Colorful - Accent 4"/>
    <w:qFormat/>
    <w:uiPriority w:val="99"/>
    <w:tblPr>
      <w:tblCellMar>
        <w:top w:w="0" w:type="dxa"/>
        <w:left w:w="0" w:type="dxa"/>
        <w:bottom w:w="0" w:type="dxa"/>
        <w:right w:w="0" w:type="dxa"/>
      </w:tblCellMar>
    </w:tblPr>
  </w:style>
  <w:style w:type="table" w:customStyle="1" w:styleId="202">
    <w:name w:val="List Table 6 Colorful - Accent 5"/>
    <w:qFormat/>
    <w:uiPriority w:val="99"/>
    <w:tblPr>
      <w:tblCellMar>
        <w:top w:w="0" w:type="dxa"/>
        <w:left w:w="0" w:type="dxa"/>
        <w:bottom w:w="0" w:type="dxa"/>
        <w:right w:w="0" w:type="dxa"/>
      </w:tblCellMar>
    </w:tblPr>
  </w:style>
  <w:style w:type="table" w:customStyle="1" w:styleId="203">
    <w:name w:val="List Table 6 Colorful - Accent 6"/>
    <w:qFormat/>
    <w:uiPriority w:val="99"/>
    <w:tblPr>
      <w:tblCellMar>
        <w:top w:w="0" w:type="dxa"/>
        <w:left w:w="0" w:type="dxa"/>
        <w:bottom w:w="0" w:type="dxa"/>
        <w:right w:w="0" w:type="dxa"/>
      </w:tblCellMar>
    </w:tblPr>
  </w:style>
  <w:style w:type="table" w:customStyle="1" w:styleId="204">
    <w:name w:val="List Table 7 Colorful - Accent 1"/>
    <w:qFormat/>
    <w:uiPriority w:val="99"/>
    <w:tblPr>
      <w:tblCellMar>
        <w:top w:w="0" w:type="dxa"/>
        <w:left w:w="0" w:type="dxa"/>
        <w:bottom w:w="0" w:type="dxa"/>
        <w:right w:w="0" w:type="dxa"/>
      </w:tblCellMar>
    </w:tblPr>
  </w:style>
  <w:style w:type="table" w:customStyle="1" w:styleId="205">
    <w:name w:val="List Table 7 Colorful - Accent 2"/>
    <w:qFormat/>
    <w:uiPriority w:val="99"/>
    <w:tblPr>
      <w:tblCellMar>
        <w:top w:w="0" w:type="dxa"/>
        <w:left w:w="0" w:type="dxa"/>
        <w:bottom w:w="0" w:type="dxa"/>
        <w:right w:w="0" w:type="dxa"/>
      </w:tblCellMar>
    </w:tblPr>
  </w:style>
  <w:style w:type="table" w:customStyle="1" w:styleId="206">
    <w:name w:val="List Table 7 Colorful - Accent 3"/>
    <w:qFormat/>
    <w:uiPriority w:val="99"/>
    <w:tblPr>
      <w:tblCellMar>
        <w:top w:w="0" w:type="dxa"/>
        <w:left w:w="0" w:type="dxa"/>
        <w:bottom w:w="0" w:type="dxa"/>
        <w:right w:w="0" w:type="dxa"/>
      </w:tblCellMar>
    </w:tblPr>
  </w:style>
  <w:style w:type="table" w:customStyle="1" w:styleId="207">
    <w:name w:val="List Table 7 Colorful - Accent 4"/>
    <w:qFormat/>
    <w:uiPriority w:val="99"/>
    <w:tblPr>
      <w:tblCellMar>
        <w:top w:w="0" w:type="dxa"/>
        <w:left w:w="0" w:type="dxa"/>
        <w:bottom w:w="0" w:type="dxa"/>
        <w:right w:w="0" w:type="dxa"/>
      </w:tblCellMar>
    </w:tblPr>
  </w:style>
  <w:style w:type="table" w:customStyle="1" w:styleId="208">
    <w:name w:val="List Table 7 Colorful - Accent 5"/>
    <w:qFormat/>
    <w:uiPriority w:val="99"/>
    <w:tblPr>
      <w:tblCellMar>
        <w:top w:w="0" w:type="dxa"/>
        <w:left w:w="0" w:type="dxa"/>
        <w:bottom w:w="0" w:type="dxa"/>
        <w:right w:w="0" w:type="dxa"/>
      </w:tblCellMar>
    </w:tblPr>
  </w:style>
  <w:style w:type="table" w:customStyle="1" w:styleId="209">
    <w:name w:val="List Table 7 Colorful - Accent 6"/>
    <w:qFormat/>
    <w:uiPriority w:val="99"/>
    <w:tblPr>
      <w:tblCellMar>
        <w:top w:w="0" w:type="dxa"/>
        <w:left w:w="0" w:type="dxa"/>
        <w:bottom w:w="0" w:type="dxa"/>
        <w:right w:w="0" w:type="dxa"/>
      </w:tblCellMar>
    </w:tblPr>
  </w:style>
  <w:style w:type="table" w:customStyle="1" w:styleId="210">
    <w:name w:val="Lined - Accent"/>
    <w:qFormat/>
    <w:uiPriority w:val="99"/>
    <w:rPr>
      <w:color w:val="404040"/>
    </w:rPr>
    <w:tblPr>
      <w:tblCellMar>
        <w:top w:w="0" w:type="dxa"/>
        <w:left w:w="0" w:type="dxa"/>
        <w:bottom w:w="0" w:type="dxa"/>
        <w:right w:w="0" w:type="dxa"/>
      </w:tblCellMar>
    </w:tblPr>
  </w:style>
  <w:style w:type="table" w:customStyle="1" w:styleId="211">
    <w:name w:val="Lined - Accent 1"/>
    <w:basedOn w:val="42"/>
    <w:qFormat/>
    <w:uiPriority w:val="99"/>
    <w:rPr>
      <w:rFonts w:ascii="Arial" w:hAnsi="Arial"/>
      <w:color w:val="404040"/>
    </w:rPr>
    <w:tblPr>
      <w:tblCellMar>
        <w:top w:w="0" w:type="dxa"/>
        <w:left w:w="0" w:type="dxa"/>
        <w:bottom w:w="0" w:type="dxa"/>
        <w:right w:w="0" w:type="dxa"/>
      </w:tblCellMar>
    </w:tblPr>
  </w:style>
  <w:style w:type="table" w:customStyle="1" w:styleId="212">
    <w:name w:val="Lined - Accent 2"/>
    <w:qFormat/>
    <w:uiPriority w:val="99"/>
    <w:rPr>
      <w:color w:val="404040"/>
    </w:rPr>
    <w:tblPr>
      <w:tblCellMar>
        <w:top w:w="0" w:type="dxa"/>
        <w:left w:w="0" w:type="dxa"/>
        <w:bottom w:w="0" w:type="dxa"/>
        <w:right w:w="0" w:type="dxa"/>
      </w:tblCellMar>
    </w:tblPr>
  </w:style>
  <w:style w:type="table" w:customStyle="1" w:styleId="213">
    <w:name w:val="Lined - Accent 3"/>
    <w:qFormat/>
    <w:uiPriority w:val="99"/>
    <w:rPr>
      <w:color w:val="404040"/>
    </w:rPr>
    <w:tblPr>
      <w:tblCellMar>
        <w:top w:w="0" w:type="dxa"/>
        <w:left w:w="0" w:type="dxa"/>
        <w:bottom w:w="0" w:type="dxa"/>
        <w:right w:w="0" w:type="dxa"/>
      </w:tblCellMar>
    </w:tblPr>
  </w:style>
  <w:style w:type="table" w:customStyle="1" w:styleId="214">
    <w:name w:val="Lined - Accent 4"/>
    <w:qFormat/>
    <w:uiPriority w:val="99"/>
    <w:rPr>
      <w:color w:val="404040"/>
    </w:rPr>
    <w:tblPr>
      <w:tblCellMar>
        <w:top w:w="0" w:type="dxa"/>
        <w:left w:w="0" w:type="dxa"/>
        <w:bottom w:w="0" w:type="dxa"/>
        <w:right w:w="0" w:type="dxa"/>
      </w:tblCellMar>
    </w:tblPr>
  </w:style>
  <w:style w:type="table" w:customStyle="1" w:styleId="215">
    <w:name w:val="Lined - Accent 5"/>
    <w:qFormat/>
    <w:uiPriority w:val="99"/>
    <w:rPr>
      <w:color w:val="404040"/>
    </w:rPr>
    <w:tblPr>
      <w:tblCellMar>
        <w:top w:w="0" w:type="dxa"/>
        <w:left w:w="0" w:type="dxa"/>
        <w:bottom w:w="0" w:type="dxa"/>
        <w:right w:w="0" w:type="dxa"/>
      </w:tblCellMar>
    </w:tblPr>
  </w:style>
  <w:style w:type="table" w:customStyle="1" w:styleId="216">
    <w:name w:val="Lined - Accent 6"/>
    <w:qFormat/>
    <w:uiPriority w:val="99"/>
    <w:rPr>
      <w:color w:val="404040"/>
    </w:rPr>
    <w:tblPr>
      <w:tblCellMar>
        <w:top w:w="0" w:type="dxa"/>
        <w:left w:w="0" w:type="dxa"/>
        <w:bottom w:w="0" w:type="dxa"/>
        <w:right w:w="0" w:type="dxa"/>
      </w:tblCellMar>
    </w:tblPr>
  </w:style>
  <w:style w:type="table" w:customStyle="1" w:styleId="217">
    <w:name w:val="Bordered &amp; Lined - Accent"/>
    <w:qFormat/>
    <w:uiPriority w:val="99"/>
    <w:rPr>
      <w:color w:val="404040"/>
    </w:rPr>
    <w:tblPr>
      <w:tblCellMar>
        <w:top w:w="0" w:type="dxa"/>
        <w:left w:w="0" w:type="dxa"/>
        <w:bottom w:w="0" w:type="dxa"/>
        <w:right w:w="0" w:type="dxa"/>
      </w:tblCellMar>
    </w:tblPr>
  </w:style>
  <w:style w:type="table" w:customStyle="1" w:styleId="218">
    <w:name w:val="Bordered &amp; Lined - Accent 1"/>
    <w:basedOn w:val="42"/>
    <w:qFormat/>
    <w:uiPriority w:val="99"/>
    <w:rPr>
      <w:rFonts w:ascii="Arial" w:hAnsi="Arial"/>
      <w:color w:val="404040"/>
    </w:rPr>
    <w:tblPr>
      <w:tblCellMar>
        <w:top w:w="0" w:type="dxa"/>
        <w:left w:w="0" w:type="dxa"/>
        <w:bottom w:w="0" w:type="dxa"/>
        <w:right w:w="0" w:type="dxa"/>
      </w:tblCellMar>
    </w:tblPr>
  </w:style>
  <w:style w:type="table" w:customStyle="1" w:styleId="219">
    <w:name w:val="Bordered &amp; Lined - Accent 2"/>
    <w:qFormat/>
    <w:uiPriority w:val="99"/>
    <w:rPr>
      <w:color w:val="404040"/>
    </w:rPr>
    <w:tblPr>
      <w:tblCellMar>
        <w:top w:w="0" w:type="dxa"/>
        <w:left w:w="0" w:type="dxa"/>
        <w:bottom w:w="0" w:type="dxa"/>
        <w:right w:w="0" w:type="dxa"/>
      </w:tblCellMar>
    </w:tblPr>
  </w:style>
  <w:style w:type="table" w:customStyle="1" w:styleId="220">
    <w:name w:val="Bordered &amp; Lined - Accent 3"/>
    <w:qFormat/>
    <w:uiPriority w:val="99"/>
    <w:rPr>
      <w:color w:val="404040"/>
    </w:rPr>
    <w:tblPr>
      <w:tblCellMar>
        <w:top w:w="0" w:type="dxa"/>
        <w:left w:w="0" w:type="dxa"/>
        <w:bottom w:w="0" w:type="dxa"/>
        <w:right w:w="0" w:type="dxa"/>
      </w:tblCellMar>
    </w:tblPr>
  </w:style>
  <w:style w:type="table" w:customStyle="1" w:styleId="221">
    <w:name w:val="Bordered &amp; Lined - Accent 4"/>
    <w:qFormat/>
    <w:uiPriority w:val="99"/>
    <w:rPr>
      <w:color w:val="404040"/>
    </w:rPr>
    <w:tblPr>
      <w:tblCellMar>
        <w:top w:w="0" w:type="dxa"/>
        <w:left w:w="0" w:type="dxa"/>
        <w:bottom w:w="0" w:type="dxa"/>
        <w:right w:w="0" w:type="dxa"/>
      </w:tblCellMar>
    </w:tblPr>
  </w:style>
  <w:style w:type="table" w:customStyle="1" w:styleId="222">
    <w:name w:val="Bordered &amp; Lined - Accent 5"/>
    <w:qFormat/>
    <w:uiPriority w:val="99"/>
    <w:rPr>
      <w:color w:val="404040"/>
    </w:rPr>
    <w:tblPr>
      <w:tblCellMar>
        <w:top w:w="0" w:type="dxa"/>
        <w:left w:w="0" w:type="dxa"/>
        <w:bottom w:w="0" w:type="dxa"/>
        <w:right w:w="0" w:type="dxa"/>
      </w:tblCellMar>
    </w:tblPr>
  </w:style>
  <w:style w:type="table" w:customStyle="1" w:styleId="223">
    <w:name w:val="Bordered &amp; Lined - Accent 6"/>
    <w:qFormat/>
    <w:uiPriority w:val="99"/>
    <w:rPr>
      <w:color w:val="404040"/>
    </w:rPr>
    <w:tblPr>
      <w:tblCellMar>
        <w:top w:w="0" w:type="dxa"/>
        <w:left w:w="0" w:type="dxa"/>
        <w:bottom w:w="0" w:type="dxa"/>
        <w:right w:w="0" w:type="dxa"/>
      </w:tblCellMar>
    </w:tblPr>
  </w:style>
  <w:style w:type="table" w:customStyle="1" w:styleId="224">
    <w:name w:val="Bordered"/>
    <w:qFormat/>
    <w:uiPriority w:val="99"/>
    <w:tblPr>
      <w:tblCellMar>
        <w:top w:w="0" w:type="dxa"/>
        <w:left w:w="0" w:type="dxa"/>
        <w:bottom w:w="0" w:type="dxa"/>
        <w:right w:w="0" w:type="dxa"/>
      </w:tblCellMar>
    </w:tblPr>
  </w:style>
  <w:style w:type="table" w:customStyle="1" w:styleId="225">
    <w:name w:val="Bordered - Accent 1"/>
    <w:qFormat/>
    <w:uiPriority w:val="99"/>
    <w:tblPr>
      <w:tblCellMar>
        <w:top w:w="0" w:type="dxa"/>
        <w:left w:w="0" w:type="dxa"/>
        <w:bottom w:w="0" w:type="dxa"/>
        <w:right w:w="0" w:type="dxa"/>
      </w:tblCellMar>
    </w:tblPr>
  </w:style>
  <w:style w:type="table" w:customStyle="1" w:styleId="226">
    <w:name w:val="Bordered - Accent 2"/>
    <w:qFormat/>
    <w:uiPriority w:val="99"/>
    <w:tblPr>
      <w:tblCellMar>
        <w:top w:w="0" w:type="dxa"/>
        <w:left w:w="0" w:type="dxa"/>
        <w:bottom w:w="0" w:type="dxa"/>
        <w:right w:w="0" w:type="dxa"/>
      </w:tblCellMar>
    </w:tblPr>
  </w:style>
  <w:style w:type="table" w:customStyle="1" w:styleId="227">
    <w:name w:val="Bordered - Accent 3"/>
    <w:qFormat/>
    <w:uiPriority w:val="99"/>
    <w:tblPr>
      <w:tblCellMar>
        <w:top w:w="0" w:type="dxa"/>
        <w:left w:w="0" w:type="dxa"/>
        <w:bottom w:w="0" w:type="dxa"/>
        <w:right w:w="0" w:type="dxa"/>
      </w:tblCellMar>
    </w:tblPr>
  </w:style>
  <w:style w:type="table" w:customStyle="1" w:styleId="228">
    <w:name w:val="Bordered - Accent 4"/>
    <w:qFormat/>
    <w:uiPriority w:val="99"/>
    <w:tblPr>
      <w:tblCellMar>
        <w:top w:w="0" w:type="dxa"/>
        <w:left w:w="0" w:type="dxa"/>
        <w:bottom w:w="0" w:type="dxa"/>
        <w:right w:w="0" w:type="dxa"/>
      </w:tblCellMar>
    </w:tblPr>
  </w:style>
  <w:style w:type="table" w:customStyle="1" w:styleId="229">
    <w:name w:val="Bordered - Accent 5"/>
    <w:qFormat/>
    <w:uiPriority w:val="99"/>
    <w:tblPr>
      <w:tblCellMar>
        <w:top w:w="0" w:type="dxa"/>
        <w:left w:w="0" w:type="dxa"/>
        <w:bottom w:w="0" w:type="dxa"/>
        <w:right w:w="0" w:type="dxa"/>
      </w:tblCellMar>
    </w:tblPr>
  </w:style>
  <w:style w:type="table" w:customStyle="1" w:styleId="230">
    <w:name w:val="Bordered - Accent 6"/>
    <w:qFormat/>
    <w:uiPriority w:val="99"/>
    <w:tblPr>
      <w:tblCellMar>
        <w:top w:w="0" w:type="dxa"/>
        <w:left w:w="0" w:type="dxa"/>
        <w:bottom w:w="0" w:type="dxa"/>
        <w:right w:w="0" w:type="dxa"/>
      </w:tblCellMar>
    </w:tblPr>
  </w:style>
  <w:style w:type="paragraph" w:customStyle="1" w:styleId="231">
    <w:name w:val="TOC 标题11"/>
    <w:unhideWhenUsed/>
    <w:qFormat/>
    <w:uiPriority w:val="39"/>
    <w:rPr>
      <w:rFonts w:ascii="Times New Roman" w:hAnsi="Times New Roman" w:eastAsia="宋体" w:cs="Times New Roman"/>
      <w:lang w:val="en-US" w:eastAsia="zh-CN" w:bidi="ar-SA"/>
    </w:rPr>
  </w:style>
  <w:style w:type="character" w:customStyle="1" w:styleId="232">
    <w:name w:val="纯文本 字符"/>
    <w:qFormat/>
    <w:uiPriority w:val="0"/>
    <w:rPr>
      <w:rFonts w:ascii="宋体" w:hAnsi="Courier New" w:eastAsia="楷体_GB2312"/>
      <w:sz w:val="26"/>
    </w:rPr>
  </w:style>
  <w:style w:type="paragraph" w:customStyle="1" w:styleId="233">
    <w:name w:val="正文文本首行缩进1"/>
    <w:basedOn w:val="16"/>
    <w:link w:val="234"/>
    <w:unhideWhenUsed/>
    <w:qFormat/>
    <w:uiPriority w:val="99"/>
    <w:pPr>
      <w:spacing w:before="0" w:after="120"/>
      <w:ind w:left="0" w:firstLine="420"/>
    </w:pPr>
    <w:rPr>
      <w:sz w:val="22"/>
      <w:szCs w:val="22"/>
    </w:rPr>
  </w:style>
  <w:style w:type="character" w:customStyle="1" w:styleId="234">
    <w:name w:val="正文文本首行缩进 字符"/>
    <w:link w:val="233"/>
    <w:qFormat/>
    <w:uiPriority w:val="99"/>
    <w:rPr>
      <w:rFonts w:ascii="宋体" w:hAnsi="Times New Roman" w:eastAsia="宋体" w:cs="宋体"/>
      <w:sz w:val="22"/>
      <w:szCs w:val="22"/>
    </w:rPr>
  </w:style>
  <w:style w:type="paragraph" w:customStyle="1" w:styleId="235">
    <w:name w:val="正文文本首行缩进 21"/>
    <w:basedOn w:val="17"/>
    <w:link w:val="236"/>
    <w:qFormat/>
    <w:uiPriority w:val="0"/>
    <w:pPr>
      <w:ind w:firstLine="420"/>
      <w:jc w:val="both"/>
    </w:pPr>
    <w:rPr>
      <w:sz w:val="21"/>
      <w:szCs w:val="24"/>
    </w:rPr>
  </w:style>
  <w:style w:type="character" w:customStyle="1" w:styleId="236">
    <w:name w:val="正文文本首行缩进 2 字符"/>
    <w:link w:val="235"/>
    <w:qFormat/>
    <w:uiPriority w:val="0"/>
    <w:rPr>
      <w:rFonts w:ascii="宋体" w:hAnsi="Times New Roman" w:eastAsia="宋体" w:cs="宋体"/>
      <w:sz w:val="21"/>
      <w:szCs w:val="24"/>
    </w:rPr>
  </w:style>
  <w:style w:type="paragraph" w:customStyle="1" w:styleId="237">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38">
    <w:name w:val="列表段落1"/>
    <w:basedOn w:val="1"/>
    <w:link w:val="239"/>
    <w:qFormat/>
    <w:uiPriority w:val="34"/>
    <w:pPr>
      <w:spacing w:before="132"/>
      <w:ind w:left="367" w:firstLine="420"/>
    </w:pPr>
    <w:rPr>
      <w:sz w:val="24"/>
      <w:szCs w:val="24"/>
    </w:rPr>
  </w:style>
  <w:style w:type="character" w:customStyle="1" w:styleId="239">
    <w:name w:val="列表段落 字符"/>
    <w:link w:val="238"/>
    <w:qFormat/>
    <w:uiPriority w:val="34"/>
    <w:rPr>
      <w:rFonts w:ascii="宋体" w:cs="宋体"/>
      <w:sz w:val="24"/>
      <w:szCs w:val="24"/>
    </w:rPr>
  </w:style>
  <w:style w:type="paragraph" w:customStyle="1" w:styleId="240">
    <w:name w:val="Table Paragraph"/>
    <w:basedOn w:val="1"/>
    <w:qFormat/>
    <w:uiPriority w:val="1"/>
    <w:pPr>
      <w:spacing w:before="111"/>
      <w:jc w:val="center"/>
    </w:pPr>
    <w:rPr>
      <w:sz w:val="24"/>
      <w:szCs w:val="24"/>
    </w:rPr>
  </w:style>
  <w:style w:type="paragraph" w:customStyle="1" w:styleId="241">
    <w:name w:val="Plain Text2"/>
    <w:basedOn w:val="1"/>
    <w:qFormat/>
    <w:uiPriority w:val="0"/>
    <w:pPr>
      <w:jc w:val="both"/>
    </w:pPr>
    <w:rPr>
      <w:rFonts w:hAnsi="Courier New" w:eastAsia="楷体_GB2312" w:cs="Times New Roman"/>
      <w:sz w:val="28"/>
      <w:szCs w:val="24"/>
    </w:rPr>
  </w:style>
  <w:style w:type="paragraph" w:customStyle="1" w:styleId="242">
    <w:name w:val="列表段落11"/>
    <w:basedOn w:val="1"/>
    <w:qFormat/>
    <w:uiPriority w:val="34"/>
    <w:pPr>
      <w:ind w:firstLine="420"/>
      <w:jc w:val="both"/>
    </w:pPr>
    <w:rPr>
      <w:rFonts w:ascii="等线" w:hAnsi="等线" w:eastAsia="等线" w:cs="Times New Roman"/>
      <w:sz w:val="21"/>
      <w:szCs w:val="24"/>
    </w:rPr>
  </w:style>
  <w:style w:type="paragraph" w:customStyle="1" w:styleId="243">
    <w:name w:val="彩色列表 - 强调文字颜色 11"/>
    <w:basedOn w:val="1"/>
    <w:qFormat/>
    <w:uiPriority w:val="0"/>
    <w:pPr>
      <w:ind w:firstLine="420"/>
      <w:jc w:val="both"/>
    </w:pPr>
    <w:rPr>
      <w:rFonts w:ascii="Times New Roman" w:eastAsia="等线" w:cs="Times New Roman"/>
      <w:sz w:val="21"/>
      <w:szCs w:val="24"/>
    </w:rPr>
  </w:style>
  <w:style w:type="character" w:customStyle="1" w:styleId="244">
    <w:name w:val="标题 4 Char"/>
    <w:qFormat/>
    <w:uiPriority w:val="0"/>
    <w:rPr>
      <w:rFonts w:ascii="Arial" w:hAnsi="Arial" w:eastAsia="黑体"/>
      <w:b/>
      <w:sz w:val="28"/>
    </w:rPr>
  </w:style>
  <w:style w:type="paragraph" w:customStyle="1" w:styleId="245">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46">
    <w:name w:val="正文文本缩进 字符1"/>
    <w:qFormat/>
    <w:uiPriority w:val="0"/>
    <w:rPr>
      <w:rFonts w:ascii="宋体" w:eastAsia="宋体"/>
      <w:sz w:val="28"/>
      <w:lang w:val="en-US" w:eastAsia="zh-CN" w:bidi="ar-SA"/>
    </w:rPr>
  </w:style>
  <w:style w:type="character" w:customStyle="1" w:styleId="247">
    <w:name w:val="方案正文 Char"/>
    <w:link w:val="248"/>
    <w:qFormat/>
    <w:uiPriority w:val="0"/>
    <w:rPr>
      <w:sz w:val="24"/>
    </w:rPr>
  </w:style>
  <w:style w:type="paragraph" w:customStyle="1" w:styleId="248">
    <w:name w:val="方案正文"/>
    <w:basedOn w:val="1"/>
    <w:link w:val="247"/>
    <w:qFormat/>
    <w:uiPriority w:val="0"/>
    <w:pPr>
      <w:spacing w:line="440" w:lineRule="atLeast"/>
      <w:jc w:val="both"/>
    </w:pPr>
    <w:rPr>
      <w:rFonts w:ascii="Times New Roman" w:cs="Times New Roman"/>
      <w:sz w:val="24"/>
      <w:szCs w:val="20"/>
    </w:rPr>
  </w:style>
  <w:style w:type="paragraph" w:customStyle="1" w:styleId="249">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50">
    <w:name w:val="列出段落12"/>
    <w:basedOn w:val="1"/>
    <w:qFormat/>
    <w:uiPriority w:val="0"/>
    <w:pPr>
      <w:ind w:firstLine="420"/>
      <w:jc w:val="both"/>
    </w:pPr>
    <w:rPr>
      <w:rFonts w:ascii="Times New Roman" w:cs="Times New Roman"/>
      <w:sz w:val="21"/>
      <w:szCs w:val="20"/>
    </w:rPr>
  </w:style>
  <w:style w:type="paragraph" w:customStyle="1" w:styleId="251">
    <w:name w:val="列出段落5"/>
    <w:basedOn w:val="1"/>
    <w:qFormat/>
    <w:uiPriority w:val="0"/>
    <w:pPr>
      <w:ind w:firstLine="420"/>
      <w:jc w:val="both"/>
    </w:pPr>
    <w:rPr>
      <w:rFonts w:ascii="Calibri" w:hAnsi="Calibri" w:cs="Times New Roman"/>
      <w:sz w:val="21"/>
      <w:szCs w:val="20"/>
    </w:rPr>
  </w:style>
  <w:style w:type="paragraph" w:customStyle="1" w:styleId="252">
    <w:name w:val="正文1"/>
    <w:basedOn w:val="1"/>
    <w:next w:val="1"/>
    <w:qFormat/>
    <w:uiPriority w:val="0"/>
    <w:pPr>
      <w:tabs>
        <w:tab w:val="left" w:pos="420"/>
      </w:tabs>
      <w:spacing w:line="360" w:lineRule="auto"/>
      <w:ind w:firstLine="420"/>
      <w:jc w:val="both"/>
    </w:pPr>
    <w:rPr>
      <w:rFonts w:hAnsi="宋体" w:cs="Times New Roman"/>
      <w:sz w:val="21"/>
      <w:szCs w:val="20"/>
    </w:rPr>
  </w:style>
  <w:style w:type="character" w:customStyle="1" w:styleId="253">
    <w:name w:val="font41"/>
    <w:qFormat/>
    <w:uiPriority w:val="0"/>
    <w:rPr>
      <w:rFonts w:hint="eastAsia" w:ascii="宋体" w:hAnsi="宋体" w:eastAsia="宋体" w:cs="宋体"/>
      <w:color w:val="000000"/>
      <w:sz w:val="20"/>
      <w:szCs w:val="20"/>
      <w:u w:val="none"/>
    </w:rPr>
  </w:style>
  <w:style w:type="character" w:customStyle="1" w:styleId="254">
    <w:name w:val="Plain Text Char1"/>
    <w:link w:val="255"/>
    <w:qFormat/>
    <w:uiPriority w:val="0"/>
    <w:rPr>
      <w:rFonts w:ascii="宋体" w:hAnsi="Courier New" w:eastAsia="楷体_GB2312"/>
      <w:sz w:val="26"/>
    </w:rPr>
  </w:style>
  <w:style w:type="paragraph" w:customStyle="1" w:styleId="255">
    <w:name w:val="纯文本1"/>
    <w:basedOn w:val="1"/>
    <w:link w:val="254"/>
    <w:qFormat/>
    <w:uiPriority w:val="0"/>
    <w:pPr>
      <w:jc w:val="both"/>
    </w:pPr>
    <w:rPr>
      <w:rFonts w:hAnsi="Courier New" w:eastAsia="楷体_GB2312" w:cs="Times New Roman"/>
      <w:sz w:val="26"/>
      <w:szCs w:val="20"/>
    </w:rPr>
  </w:style>
  <w:style w:type="character" w:customStyle="1" w:styleId="256">
    <w:name w:val="页眉 字符2"/>
    <w:qFormat/>
    <w:uiPriority w:val="99"/>
    <w:rPr>
      <w:rFonts w:eastAsia="宋体"/>
      <w:sz w:val="18"/>
      <w:lang w:val="en-US" w:eastAsia="zh-CN" w:bidi="ar-SA"/>
    </w:rPr>
  </w:style>
  <w:style w:type="character" w:customStyle="1" w:styleId="257">
    <w:name w:val="页脚 字符2"/>
    <w:qFormat/>
    <w:uiPriority w:val="99"/>
    <w:rPr>
      <w:rFonts w:eastAsia="宋体"/>
      <w:sz w:val="18"/>
      <w:lang w:val="en-US" w:eastAsia="zh-CN" w:bidi="ar-SA"/>
    </w:rPr>
  </w:style>
  <w:style w:type="character" w:customStyle="1" w:styleId="258">
    <w:name w:val="01 章标 Char"/>
    <w:link w:val="259"/>
    <w:qFormat/>
    <w:uiPriority w:val="0"/>
    <w:rPr>
      <w:b/>
      <w:sz w:val="44"/>
      <w:szCs w:val="44"/>
    </w:rPr>
  </w:style>
  <w:style w:type="paragraph" w:customStyle="1" w:styleId="259">
    <w:name w:val="01 章标"/>
    <w:basedOn w:val="1"/>
    <w:link w:val="258"/>
    <w:qFormat/>
    <w:uiPriority w:val="0"/>
    <w:pPr>
      <w:ind w:firstLine="883"/>
      <w:jc w:val="center"/>
      <w:outlineLvl w:val="0"/>
    </w:pPr>
    <w:rPr>
      <w:rFonts w:ascii="Times New Roman" w:cs="Times New Roman"/>
      <w:b/>
      <w:sz w:val="44"/>
      <w:szCs w:val="44"/>
    </w:rPr>
  </w:style>
  <w:style w:type="character" w:customStyle="1" w:styleId="260">
    <w:name w:val="纯文本 字符1"/>
    <w:qFormat/>
    <w:uiPriority w:val="99"/>
    <w:rPr>
      <w:rFonts w:ascii="宋体" w:hAnsi="Courier New" w:eastAsia="宋体" w:cs="Courier New"/>
      <w:sz w:val="21"/>
      <w:szCs w:val="21"/>
    </w:rPr>
  </w:style>
  <w:style w:type="paragraph" w:customStyle="1" w:styleId="261">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2">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263">
    <w:name w:val="未处理的提及1"/>
    <w:unhideWhenUsed/>
    <w:qFormat/>
    <w:uiPriority w:val="99"/>
    <w:rPr>
      <w:color w:val="605E5C"/>
      <w:shd w:val="clear" w:color="auto" w:fill="E1DFDD"/>
    </w:rPr>
  </w:style>
  <w:style w:type="character" w:customStyle="1" w:styleId="264">
    <w:name w:val="font01"/>
    <w:qFormat/>
    <w:uiPriority w:val="0"/>
    <w:rPr>
      <w:rFonts w:ascii="Arial" w:hAnsi="Arial" w:cs="Arial"/>
      <w:color w:val="000000"/>
      <w:sz w:val="20"/>
      <w:szCs w:val="20"/>
      <w:u w:val="none"/>
    </w:rPr>
  </w:style>
  <w:style w:type="paragraph" w:customStyle="1" w:styleId="265">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266">
    <w:name w:val="NormalCharacter1"/>
    <w:qFormat/>
    <w:uiPriority w:val="0"/>
  </w:style>
  <w:style w:type="paragraph" w:customStyle="1" w:styleId="267">
    <w:name w:val="Andy_正文"/>
    <w:basedOn w:val="1"/>
    <w:qFormat/>
    <w:uiPriority w:val="0"/>
    <w:pPr>
      <w:spacing w:line="360" w:lineRule="auto"/>
      <w:ind w:firstLine="480"/>
      <w:jc w:val="both"/>
    </w:pPr>
    <w:rPr>
      <w:rFonts w:ascii="Times New Roman" w:cs="Times New Roman"/>
      <w:sz w:val="24"/>
      <w:szCs w:val="24"/>
    </w:rPr>
  </w:style>
  <w:style w:type="character" w:customStyle="1" w:styleId="268">
    <w:name w:val="font51"/>
    <w:qFormat/>
    <w:uiPriority w:val="0"/>
    <w:rPr>
      <w:rFonts w:hint="eastAsia" w:ascii="宋体" w:hAnsi="宋体" w:eastAsia="宋体" w:cs="宋体"/>
      <w:b/>
      <w:bCs/>
      <w:color w:val="000000"/>
      <w:sz w:val="21"/>
      <w:szCs w:val="21"/>
      <w:u w:val="none"/>
    </w:rPr>
  </w:style>
  <w:style w:type="character" w:customStyle="1" w:styleId="269">
    <w:name w:val="font71"/>
    <w:qFormat/>
    <w:uiPriority w:val="0"/>
    <w:rPr>
      <w:rFonts w:hint="eastAsia" w:ascii="宋体" w:hAnsi="宋体" w:eastAsia="宋体" w:cs="宋体"/>
      <w:color w:val="000000"/>
      <w:sz w:val="24"/>
      <w:szCs w:val="24"/>
      <w:u w:val="none"/>
    </w:rPr>
  </w:style>
  <w:style w:type="character" w:customStyle="1" w:styleId="270">
    <w:name w:val="font91"/>
    <w:qFormat/>
    <w:uiPriority w:val="0"/>
    <w:rPr>
      <w:rFonts w:hint="eastAsia" w:ascii="宋体" w:hAnsi="宋体" w:eastAsia="宋体" w:cs="宋体"/>
      <w:color w:val="000000"/>
      <w:sz w:val="21"/>
      <w:szCs w:val="21"/>
      <w:u w:val="none"/>
    </w:rPr>
  </w:style>
  <w:style w:type="character" w:customStyle="1" w:styleId="271">
    <w:name w:val="font61"/>
    <w:qFormat/>
    <w:uiPriority w:val="0"/>
    <w:rPr>
      <w:rFonts w:hint="eastAsia" w:ascii="宋体" w:hAnsi="宋体" w:eastAsia="宋体" w:cs="宋体"/>
      <w:color w:val="000000"/>
      <w:sz w:val="21"/>
      <w:szCs w:val="21"/>
      <w:u w:val="none"/>
    </w:rPr>
  </w:style>
  <w:style w:type="character" w:customStyle="1" w:styleId="272">
    <w:name w:val="font81"/>
    <w:qFormat/>
    <w:uiPriority w:val="0"/>
    <w:rPr>
      <w:rFonts w:ascii="Calibri" w:hAnsi="Calibri" w:cs="Calibri"/>
      <w:color w:val="000000"/>
      <w:sz w:val="21"/>
      <w:szCs w:val="21"/>
      <w:u w:val="none"/>
    </w:rPr>
  </w:style>
  <w:style w:type="character" w:customStyle="1" w:styleId="273">
    <w:name w:val="font101"/>
    <w:qFormat/>
    <w:uiPriority w:val="0"/>
    <w:rPr>
      <w:rFonts w:ascii="Calibri" w:hAnsi="Calibri" w:cs="Calibri"/>
      <w:b/>
      <w:bCs/>
      <w:color w:val="000000"/>
      <w:sz w:val="21"/>
      <w:szCs w:val="21"/>
      <w:u w:val="none"/>
    </w:rPr>
  </w:style>
  <w:style w:type="character" w:customStyle="1" w:styleId="274">
    <w:name w:val="font111"/>
    <w:qFormat/>
    <w:uiPriority w:val="0"/>
    <w:rPr>
      <w:rFonts w:hint="eastAsia" w:ascii="宋体" w:hAnsi="宋体" w:eastAsia="宋体" w:cs="宋体"/>
      <w:b/>
      <w:bCs/>
      <w:color w:val="000000"/>
      <w:sz w:val="22"/>
      <w:szCs w:val="22"/>
      <w:u w:val="none"/>
    </w:rPr>
  </w:style>
  <w:style w:type="character" w:customStyle="1" w:styleId="275">
    <w:name w:val="正文缩进 字符1"/>
    <w:qFormat/>
    <w:uiPriority w:val="0"/>
    <w:rPr>
      <w:rFonts w:eastAsia="宋体"/>
      <w:sz w:val="21"/>
      <w:szCs w:val="24"/>
      <w:lang w:val="en-US" w:eastAsia="zh-CN" w:bidi="ar-SA"/>
    </w:rPr>
  </w:style>
  <w:style w:type="paragraph" w:customStyle="1" w:styleId="276">
    <w:name w:val="首行缩进"/>
    <w:basedOn w:val="1"/>
    <w:qFormat/>
    <w:uiPriority w:val="0"/>
    <w:pPr>
      <w:ind w:firstLine="480"/>
    </w:pPr>
    <w:rPr>
      <w:szCs w:val="20"/>
      <w:lang w:val="zh-CN"/>
    </w:rPr>
  </w:style>
  <w:style w:type="paragraph" w:customStyle="1" w:styleId="277">
    <w:name w:val="+正文"/>
    <w:basedOn w:val="1"/>
    <w:qFormat/>
    <w:uiPriority w:val="0"/>
    <w:pPr>
      <w:widowControl/>
      <w:spacing w:line="360" w:lineRule="auto"/>
      <w:ind w:firstLine="200"/>
    </w:pPr>
    <w:rPr>
      <w:rFonts w:ascii="Times New Roman" w:cs="Times New Roman"/>
      <w:sz w:val="24"/>
      <w:szCs w:val="24"/>
    </w:rPr>
  </w:style>
  <w:style w:type="paragraph" w:customStyle="1" w:styleId="278">
    <w:name w:val="*正文"/>
    <w:basedOn w:val="1"/>
    <w:qFormat/>
    <w:uiPriority w:val="0"/>
    <w:rPr>
      <w:rFonts w:hAnsi="宋体"/>
      <w:sz w:val="24"/>
      <w:lang w:val="zh-CN"/>
    </w:rPr>
  </w:style>
  <w:style w:type="paragraph" w:customStyle="1" w:styleId="279">
    <w:name w:val="p17"/>
    <w:basedOn w:val="1"/>
    <w:qFormat/>
    <w:uiPriority w:val="99"/>
    <w:pPr>
      <w:widowControl/>
    </w:pPr>
    <w:rPr>
      <w:rFonts w:hAnsi="宋体"/>
      <w:sz w:val="26"/>
      <w:szCs w:val="26"/>
    </w:rPr>
  </w:style>
  <w:style w:type="paragraph" w:customStyle="1" w:styleId="280">
    <w:name w:val="列出段落1"/>
    <w:basedOn w:val="1"/>
    <w:qFormat/>
    <w:uiPriority w:val="0"/>
    <w:pPr>
      <w:ind w:firstLine="420"/>
    </w:pPr>
    <w:rPr>
      <w:rFonts w:ascii="Calibri" w:hAnsi="Calibri"/>
    </w:rPr>
  </w:style>
  <w:style w:type="character" w:customStyle="1" w:styleId="281">
    <w:name w:val="正文缩进 Char"/>
    <w:qFormat/>
    <w:uiPriority w:val="0"/>
    <w:rPr>
      <w:rFonts w:eastAsia="楷体_GB2312"/>
      <w:sz w:val="24"/>
      <w:lang w:bidi="ar-SA"/>
    </w:rPr>
  </w:style>
  <w:style w:type="paragraph" w:customStyle="1" w:styleId="282">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283">
    <w:name w:val="正文缩进 字符3"/>
    <w:qFormat/>
    <w:uiPriority w:val="0"/>
    <w:rPr>
      <w:sz w:val="21"/>
    </w:rPr>
  </w:style>
  <w:style w:type="character" w:customStyle="1" w:styleId="284">
    <w:name w:val="Plain Text Char Char"/>
    <w:link w:val="285"/>
    <w:qFormat/>
    <w:uiPriority w:val="0"/>
    <w:rPr>
      <w:rFonts w:ascii="宋体" w:hAnsi="Courier New" w:eastAsia="楷体_GB2312"/>
      <w:sz w:val="26"/>
    </w:rPr>
  </w:style>
  <w:style w:type="paragraph" w:customStyle="1" w:styleId="285">
    <w:name w:val="纯文本2"/>
    <w:basedOn w:val="1"/>
    <w:link w:val="284"/>
    <w:qFormat/>
    <w:uiPriority w:val="0"/>
    <w:pPr>
      <w:jc w:val="both"/>
    </w:pPr>
    <w:rPr>
      <w:rFonts w:hAnsi="Courier New" w:eastAsia="楷体_GB2312" w:cs="Times New Roman"/>
      <w:sz w:val="26"/>
      <w:szCs w:val="20"/>
    </w:rPr>
  </w:style>
  <w:style w:type="character" w:customStyle="1" w:styleId="286">
    <w:name w:val="正文文本 Char"/>
    <w:qFormat/>
    <w:uiPriority w:val="99"/>
    <w:rPr>
      <w:rFonts w:ascii="宋体" w:hAnsi="Times New Roman" w:eastAsia="宋体" w:cs="宋体"/>
      <w:szCs w:val="21"/>
    </w:rPr>
  </w:style>
  <w:style w:type="character" w:customStyle="1" w:styleId="287">
    <w:name w:val="纯文本 Char"/>
    <w:qFormat/>
    <w:uiPriority w:val="0"/>
    <w:rPr>
      <w:rFonts w:ascii="宋体" w:hAnsi="Courier New" w:eastAsia="楷体_GB2312"/>
      <w:sz w:val="26"/>
    </w:rPr>
  </w:style>
  <w:style w:type="paragraph" w:customStyle="1" w:styleId="288">
    <w:name w:val="_Style 172"/>
    <w:basedOn w:val="1"/>
    <w:next w:val="52"/>
    <w:qFormat/>
    <w:uiPriority w:val="0"/>
    <w:pPr>
      <w:spacing w:line="360" w:lineRule="auto"/>
      <w:ind w:firstLine="420"/>
      <w:jc w:val="both"/>
    </w:pPr>
    <w:rPr>
      <w:rFonts w:ascii="Calibri" w:hAnsi="Calibri" w:cs="Times New Roman"/>
      <w:sz w:val="24"/>
      <w:szCs w:val="20"/>
    </w:rPr>
  </w:style>
  <w:style w:type="character" w:customStyle="1" w:styleId="289">
    <w:name w:val="_正文段落 Char"/>
    <w:link w:val="290"/>
    <w:qFormat/>
    <w:uiPriority w:val="0"/>
    <w:rPr>
      <w:rFonts w:ascii="宋体" w:hAnsi="宋体"/>
      <w:sz w:val="24"/>
      <w:szCs w:val="24"/>
    </w:rPr>
  </w:style>
  <w:style w:type="paragraph" w:customStyle="1" w:styleId="290">
    <w:name w:val="_正文段落"/>
    <w:basedOn w:val="1"/>
    <w:next w:val="1"/>
    <w:link w:val="289"/>
    <w:qFormat/>
    <w:uiPriority w:val="0"/>
    <w:pPr>
      <w:spacing w:line="360" w:lineRule="auto"/>
      <w:ind w:firstLine="200"/>
      <w:jc w:val="both"/>
    </w:pPr>
    <w:rPr>
      <w:rFonts w:hAnsi="宋体" w:cs="Times New Roman"/>
      <w:sz w:val="24"/>
      <w:szCs w:val="24"/>
    </w:rPr>
  </w:style>
  <w:style w:type="table" w:customStyle="1" w:styleId="291">
    <w:name w:val="Table Normal"/>
    <w:unhideWhenUsed/>
    <w:qFormat/>
    <w:uiPriority w:val="0"/>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292">
    <w:name w:val="纯文本 Char Char"/>
    <w:link w:val="293"/>
    <w:qFormat/>
    <w:uiPriority w:val="0"/>
    <w:rPr>
      <w:rFonts w:ascii="宋体" w:hAnsi="Courier New" w:eastAsia="楷体_GB2312"/>
      <w:sz w:val="26"/>
      <w:szCs w:val="24"/>
    </w:rPr>
  </w:style>
  <w:style w:type="paragraph" w:customStyle="1" w:styleId="293">
    <w:name w:val="纯文本11"/>
    <w:basedOn w:val="1"/>
    <w:link w:val="292"/>
    <w:qFormat/>
    <w:uiPriority w:val="0"/>
    <w:pPr>
      <w:widowControl/>
    </w:pPr>
    <w:rPr>
      <w:rFonts w:hAnsi="Courier New" w:eastAsia="楷体_GB2312" w:cs="Times New Roman"/>
      <w:sz w:val="26"/>
      <w:szCs w:val="24"/>
    </w:rPr>
  </w:style>
  <w:style w:type="character" w:styleId="294">
    <w:name w:val="Placeholder Text"/>
    <w:semiHidden/>
    <w:qFormat/>
    <w:uiPriority w:val="99"/>
    <w:rPr>
      <w:color w:val="808080"/>
    </w:rPr>
  </w:style>
  <w:style w:type="character" w:customStyle="1" w:styleId="295">
    <w:name w:val="Table Text Char1"/>
    <w:link w:val="296"/>
    <w:qFormat/>
    <w:uiPriority w:val="0"/>
    <w:rPr>
      <w:rFonts w:ascii="Arial" w:hAnsi="Arial" w:eastAsia="Times New Roman" w:cs="Arial"/>
      <w:sz w:val="18"/>
      <w:szCs w:val="18"/>
    </w:rPr>
  </w:style>
  <w:style w:type="paragraph" w:customStyle="1" w:styleId="296">
    <w:name w:val="Table Text"/>
    <w:link w:val="295"/>
    <w:qFormat/>
    <w:uiPriority w:val="0"/>
    <w:pPr>
      <w:spacing w:before="80" w:after="80"/>
    </w:pPr>
    <w:rPr>
      <w:rFonts w:ascii="Arial" w:hAnsi="Arial" w:eastAsia="Times New Roman" w:cs="Arial"/>
      <w:sz w:val="18"/>
      <w:szCs w:val="18"/>
      <w:lang w:val="en-US" w:eastAsia="zh-CN" w:bidi="ar-SA"/>
    </w:rPr>
  </w:style>
  <w:style w:type="table" w:customStyle="1" w:styleId="297">
    <w:name w:val="Table Normal1"/>
    <w:basedOn w:val="42"/>
    <w:qFormat/>
    <w:uiPriority w:val="0"/>
    <w:tblPr>
      <w:tblCellMar>
        <w:top w:w="0" w:type="dxa"/>
        <w:left w:w="108" w:type="dxa"/>
        <w:bottom w:w="0" w:type="dxa"/>
        <w:right w:w="108" w:type="dxa"/>
      </w:tblCellMar>
    </w:tblPr>
  </w:style>
  <w:style w:type="table" w:customStyle="1" w:styleId="298">
    <w:name w:val="网格型1"/>
    <w:basedOn w:val="42"/>
    <w:qFormat/>
    <w:uiPriority w:val="59"/>
    <w:rPr>
      <w:rFonts w:ascii="Arial" w:hAnsi="Arial"/>
    </w:rPr>
    <w:tblPr>
      <w:tblCellMar>
        <w:top w:w="0" w:type="dxa"/>
        <w:left w:w="108" w:type="dxa"/>
        <w:bottom w:w="0" w:type="dxa"/>
        <w:right w:w="108" w:type="dxa"/>
      </w:tblCellMar>
    </w:tblPr>
  </w:style>
  <w:style w:type="table" w:customStyle="1" w:styleId="299">
    <w:name w:val="Table Grid Light1"/>
    <w:basedOn w:val="42"/>
    <w:qFormat/>
    <w:uiPriority w:val="59"/>
    <w:rPr>
      <w:rFonts w:ascii="Arial" w:hAnsi="Arial"/>
    </w:rPr>
    <w:tblPr>
      <w:tblCellMar>
        <w:top w:w="0" w:type="dxa"/>
        <w:left w:w="108" w:type="dxa"/>
        <w:bottom w:w="0" w:type="dxa"/>
        <w:right w:w="108" w:type="dxa"/>
      </w:tblCellMar>
    </w:tblPr>
  </w:style>
  <w:style w:type="table" w:customStyle="1" w:styleId="300">
    <w:name w:val="无格式表格 111"/>
    <w:basedOn w:val="42"/>
    <w:qFormat/>
    <w:uiPriority w:val="59"/>
    <w:rPr>
      <w:rFonts w:ascii="Arial" w:hAnsi="Arial"/>
    </w:rPr>
    <w:tblPr>
      <w:tblCellMar>
        <w:top w:w="0" w:type="dxa"/>
        <w:left w:w="108" w:type="dxa"/>
        <w:bottom w:w="0" w:type="dxa"/>
        <w:right w:w="108" w:type="dxa"/>
      </w:tblCellMar>
    </w:tblPr>
  </w:style>
  <w:style w:type="table" w:customStyle="1" w:styleId="301">
    <w:name w:val="无格式表格 211"/>
    <w:basedOn w:val="42"/>
    <w:qFormat/>
    <w:uiPriority w:val="59"/>
    <w:rPr>
      <w:rFonts w:ascii="Arial" w:hAnsi="Arial"/>
    </w:rPr>
    <w:tblPr>
      <w:tblCellMar>
        <w:top w:w="0" w:type="dxa"/>
        <w:left w:w="108" w:type="dxa"/>
        <w:bottom w:w="0" w:type="dxa"/>
        <w:right w:w="108" w:type="dxa"/>
      </w:tblCellMar>
    </w:tblPr>
  </w:style>
  <w:style w:type="table" w:customStyle="1" w:styleId="302">
    <w:name w:val="无格式表格 311"/>
    <w:basedOn w:val="42"/>
    <w:qFormat/>
    <w:uiPriority w:val="99"/>
    <w:rPr>
      <w:rFonts w:ascii="Arial" w:hAnsi="Arial"/>
    </w:rPr>
    <w:tblPr>
      <w:tblCellMar>
        <w:top w:w="0" w:type="dxa"/>
        <w:left w:w="108" w:type="dxa"/>
        <w:bottom w:w="0" w:type="dxa"/>
        <w:right w:w="108" w:type="dxa"/>
      </w:tblCellMar>
    </w:tblPr>
  </w:style>
  <w:style w:type="table" w:customStyle="1" w:styleId="303">
    <w:name w:val="无格式表格 411"/>
    <w:basedOn w:val="42"/>
    <w:qFormat/>
    <w:uiPriority w:val="99"/>
    <w:rPr>
      <w:rFonts w:ascii="Arial" w:hAnsi="Arial"/>
    </w:rPr>
    <w:tblPr>
      <w:tblCellMar>
        <w:top w:w="0" w:type="dxa"/>
        <w:left w:w="108" w:type="dxa"/>
        <w:bottom w:w="0" w:type="dxa"/>
        <w:right w:w="108" w:type="dxa"/>
      </w:tblCellMar>
    </w:tblPr>
  </w:style>
  <w:style w:type="table" w:customStyle="1" w:styleId="304">
    <w:name w:val="无格式表格 511"/>
    <w:basedOn w:val="42"/>
    <w:qFormat/>
    <w:uiPriority w:val="99"/>
    <w:rPr>
      <w:rFonts w:ascii="Arial" w:hAnsi="Arial"/>
    </w:rPr>
    <w:tblPr>
      <w:tblCellMar>
        <w:top w:w="0" w:type="dxa"/>
        <w:left w:w="108" w:type="dxa"/>
        <w:bottom w:w="0" w:type="dxa"/>
        <w:right w:w="108" w:type="dxa"/>
      </w:tblCellMar>
    </w:tblPr>
  </w:style>
  <w:style w:type="table" w:customStyle="1" w:styleId="305">
    <w:name w:val="网格表 1 浅色11"/>
    <w:basedOn w:val="42"/>
    <w:qFormat/>
    <w:uiPriority w:val="99"/>
    <w:rPr>
      <w:rFonts w:ascii="Arial" w:hAnsi="Arial"/>
    </w:rPr>
    <w:tblPr>
      <w:tblCellMar>
        <w:top w:w="0" w:type="dxa"/>
        <w:left w:w="108" w:type="dxa"/>
        <w:bottom w:w="0" w:type="dxa"/>
        <w:right w:w="108" w:type="dxa"/>
      </w:tblCellMar>
    </w:tblPr>
  </w:style>
  <w:style w:type="table" w:customStyle="1" w:styleId="306">
    <w:name w:val="Grid Table 1 Light - Accent 11"/>
    <w:basedOn w:val="42"/>
    <w:qFormat/>
    <w:uiPriority w:val="99"/>
    <w:rPr>
      <w:rFonts w:ascii="Arial" w:hAnsi="Arial"/>
    </w:rPr>
    <w:tblPr>
      <w:tblCellMar>
        <w:top w:w="0" w:type="dxa"/>
        <w:left w:w="108" w:type="dxa"/>
        <w:bottom w:w="0" w:type="dxa"/>
        <w:right w:w="108" w:type="dxa"/>
      </w:tblCellMar>
    </w:tblPr>
  </w:style>
  <w:style w:type="table" w:customStyle="1" w:styleId="307">
    <w:name w:val="Grid Table 1 Light - Accent 21"/>
    <w:basedOn w:val="42"/>
    <w:qFormat/>
    <w:uiPriority w:val="99"/>
    <w:rPr>
      <w:rFonts w:ascii="Arial" w:hAnsi="Arial"/>
    </w:rPr>
    <w:tblPr>
      <w:tblCellMar>
        <w:top w:w="0" w:type="dxa"/>
        <w:left w:w="108" w:type="dxa"/>
        <w:bottom w:w="0" w:type="dxa"/>
        <w:right w:w="108" w:type="dxa"/>
      </w:tblCellMar>
    </w:tblPr>
  </w:style>
  <w:style w:type="table" w:customStyle="1" w:styleId="308">
    <w:name w:val="Grid Table 1 Light - Accent 31"/>
    <w:basedOn w:val="42"/>
    <w:qFormat/>
    <w:uiPriority w:val="99"/>
    <w:rPr>
      <w:rFonts w:ascii="Arial" w:hAnsi="Arial"/>
    </w:rPr>
    <w:tblPr>
      <w:tblCellMar>
        <w:top w:w="0" w:type="dxa"/>
        <w:left w:w="108" w:type="dxa"/>
        <w:bottom w:w="0" w:type="dxa"/>
        <w:right w:w="108" w:type="dxa"/>
      </w:tblCellMar>
    </w:tblPr>
  </w:style>
  <w:style w:type="table" w:customStyle="1" w:styleId="309">
    <w:name w:val="Grid Table 1 Light - Accent 41"/>
    <w:basedOn w:val="42"/>
    <w:qFormat/>
    <w:uiPriority w:val="99"/>
    <w:rPr>
      <w:rFonts w:ascii="Arial" w:hAnsi="Arial"/>
    </w:rPr>
    <w:tblPr>
      <w:tblCellMar>
        <w:top w:w="0" w:type="dxa"/>
        <w:left w:w="108" w:type="dxa"/>
        <w:bottom w:w="0" w:type="dxa"/>
        <w:right w:w="108" w:type="dxa"/>
      </w:tblCellMar>
    </w:tblPr>
  </w:style>
  <w:style w:type="table" w:customStyle="1" w:styleId="310">
    <w:name w:val="Grid Table 1 Light - Accent 51"/>
    <w:basedOn w:val="42"/>
    <w:qFormat/>
    <w:uiPriority w:val="99"/>
    <w:rPr>
      <w:rFonts w:ascii="Arial" w:hAnsi="Arial"/>
    </w:rPr>
    <w:tblPr>
      <w:tblCellMar>
        <w:top w:w="0" w:type="dxa"/>
        <w:left w:w="108" w:type="dxa"/>
        <w:bottom w:w="0" w:type="dxa"/>
        <w:right w:w="108" w:type="dxa"/>
      </w:tblCellMar>
    </w:tblPr>
  </w:style>
  <w:style w:type="table" w:customStyle="1" w:styleId="311">
    <w:name w:val="Grid Table 1 Light - Accent 61"/>
    <w:basedOn w:val="42"/>
    <w:qFormat/>
    <w:uiPriority w:val="99"/>
    <w:rPr>
      <w:rFonts w:ascii="Arial" w:hAnsi="Arial"/>
    </w:rPr>
    <w:tblPr>
      <w:tblCellMar>
        <w:top w:w="0" w:type="dxa"/>
        <w:left w:w="108" w:type="dxa"/>
        <w:bottom w:w="0" w:type="dxa"/>
        <w:right w:w="108" w:type="dxa"/>
      </w:tblCellMar>
    </w:tblPr>
  </w:style>
  <w:style w:type="table" w:customStyle="1" w:styleId="312">
    <w:name w:val="网格表 211"/>
    <w:basedOn w:val="42"/>
    <w:qFormat/>
    <w:uiPriority w:val="99"/>
    <w:rPr>
      <w:rFonts w:ascii="Arial" w:hAnsi="Arial"/>
    </w:rPr>
    <w:tblPr>
      <w:tblCellMar>
        <w:top w:w="0" w:type="dxa"/>
        <w:left w:w="108" w:type="dxa"/>
        <w:bottom w:w="0" w:type="dxa"/>
        <w:right w:w="108" w:type="dxa"/>
      </w:tblCellMar>
    </w:tblPr>
  </w:style>
  <w:style w:type="table" w:customStyle="1" w:styleId="313">
    <w:name w:val="Grid Table 2 - Accent 11"/>
    <w:basedOn w:val="42"/>
    <w:qFormat/>
    <w:uiPriority w:val="99"/>
    <w:rPr>
      <w:rFonts w:ascii="Arial" w:hAnsi="Arial"/>
    </w:rPr>
    <w:tblPr>
      <w:tblCellMar>
        <w:top w:w="0" w:type="dxa"/>
        <w:left w:w="108" w:type="dxa"/>
        <w:bottom w:w="0" w:type="dxa"/>
        <w:right w:w="108" w:type="dxa"/>
      </w:tblCellMar>
    </w:tblPr>
  </w:style>
  <w:style w:type="table" w:customStyle="1" w:styleId="314">
    <w:name w:val="Grid Table 2 - Accent 21"/>
    <w:basedOn w:val="42"/>
    <w:qFormat/>
    <w:uiPriority w:val="99"/>
    <w:rPr>
      <w:rFonts w:ascii="Arial" w:hAnsi="Arial"/>
    </w:rPr>
    <w:tblPr>
      <w:tblCellMar>
        <w:top w:w="0" w:type="dxa"/>
        <w:left w:w="108" w:type="dxa"/>
        <w:bottom w:w="0" w:type="dxa"/>
        <w:right w:w="108" w:type="dxa"/>
      </w:tblCellMar>
    </w:tblPr>
  </w:style>
  <w:style w:type="table" w:customStyle="1" w:styleId="315">
    <w:name w:val="Grid Table 2 - Accent 31"/>
    <w:basedOn w:val="42"/>
    <w:qFormat/>
    <w:uiPriority w:val="99"/>
    <w:rPr>
      <w:rFonts w:ascii="Arial" w:hAnsi="Arial"/>
    </w:rPr>
    <w:tblPr>
      <w:tblCellMar>
        <w:top w:w="0" w:type="dxa"/>
        <w:left w:w="108" w:type="dxa"/>
        <w:bottom w:w="0" w:type="dxa"/>
        <w:right w:w="108" w:type="dxa"/>
      </w:tblCellMar>
    </w:tblPr>
  </w:style>
  <w:style w:type="table" w:customStyle="1" w:styleId="316">
    <w:name w:val="Grid Table 2 - Accent 41"/>
    <w:basedOn w:val="42"/>
    <w:qFormat/>
    <w:uiPriority w:val="99"/>
    <w:rPr>
      <w:rFonts w:ascii="Arial" w:hAnsi="Arial"/>
    </w:rPr>
    <w:tblPr>
      <w:tblCellMar>
        <w:top w:w="0" w:type="dxa"/>
        <w:left w:w="108" w:type="dxa"/>
        <w:bottom w:w="0" w:type="dxa"/>
        <w:right w:w="108" w:type="dxa"/>
      </w:tblCellMar>
    </w:tblPr>
  </w:style>
  <w:style w:type="table" w:customStyle="1" w:styleId="317">
    <w:name w:val="Grid Table 2 - Accent 51"/>
    <w:basedOn w:val="42"/>
    <w:qFormat/>
    <w:uiPriority w:val="99"/>
    <w:rPr>
      <w:rFonts w:ascii="Arial" w:hAnsi="Arial"/>
    </w:rPr>
    <w:tblPr>
      <w:tblCellMar>
        <w:top w:w="0" w:type="dxa"/>
        <w:left w:w="108" w:type="dxa"/>
        <w:bottom w:w="0" w:type="dxa"/>
        <w:right w:w="108" w:type="dxa"/>
      </w:tblCellMar>
    </w:tblPr>
  </w:style>
  <w:style w:type="table" w:customStyle="1" w:styleId="318">
    <w:name w:val="Grid Table 2 - Accent 61"/>
    <w:basedOn w:val="42"/>
    <w:qFormat/>
    <w:uiPriority w:val="99"/>
    <w:rPr>
      <w:rFonts w:ascii="Arial" w:hAnsi="Arial"/>
    </w:rPr>
    <w:tblPr>
      <w:tblCellMar>
        <w:top w:w="0" w:type="dxa"/>
        <w:left w:w="108" w:type="dxa"/>
        <w:bottom w:w="0" w:type="dxa"/>
        <w:right w:w="108" w:type="dxa"/>
      </w:tblCellMar>
    </w:tblPr>
  </w:style>
  <w:style w:type="table" w:customStyle="1" w:styleId="319">
    <w:name w:val="网格表 311"/>
    <w:basedOn w:val="42"/>
    <w:qFormat/>
    <w:uiPriority w:val="99"/>
    <w:rPr>
      <w:rFonts w:ascii="Arial" w:hAnsi="Arial"/>
    </w:rPr>
    <w:tblPr>
      <w:tblCellMar>
        <w:top w:w="0" w:type="dxa"/>
        <w:left w:w="108" w:type="dxa"/>
        <w:bottom w:w="0" w:type="dxa"/>
        <w:right w:w="108" w:type="dxa"/>
      </w:tblCellMar>
    </w:tblPr>
  </w:style>
  <w:style w:type="table" w:customStyle="1" w:styleId="320">
    <w:name w:val="Grid Table 3 - Accent 11"/>
    <w:basedOn w:val="42"/>
    <w:qFormat/>
    <w:uiPriority w:val="99"/>
    <w:rPr>
      <w:rFonts w:ascii="Arial" w:hAnsi="Arial"/>
    </w:rPr>
    <w:tblPr>
      <w:tblCellMar>
        <w:top w:w="0" w:type="dxa"/>
        <w:left w:w="108" w:type="dxa"/>
        <w:bottom w:w="0" w:type="dxa"/>
        <w:right w:w="108" w:type="dxa"/>
      </w:tblCellMar>
    </w:tblPr>
  </w:style>
  <w:style w:type="table" w:customStyle="1" w:styleId="321">
    <w:name w:val="Grid Table 3 - Accent 21"/>
    <w:basedOn w:val="42"/>
    <w:qFormat/>
    <w:uiPriority w:val="99"/>
    <w:rPr>
      <w:rFonts w:ascii="Arial" w:hAnsi="Arial"/>
    </w:rPr>
    <w:tblPr>
      <w:tblCellMar>
        <w:top w:w="0" w:type="dxa"/>
        <w:left w:w="108" w:type="dxa"/>
        <w:bottom w:w="0" w:type="dxa"/>
        <w:right w:w="108" w:type="dxa"/>
      </w:tblCellMar>
    </w:tblPr>
  </w:style>
  <w:style w:type="table" w:customStyle="1" w:styleId="322">
    <w:name w:val="Grid Table 3 - Accent 31"/>
    <w:basedOn w:val="42"/>
    <w:qFormat/>
    <w:uiPriority w:val="99"/>
    <w:rPr>
      <w:rFonts w:ascii="Arial" w:hAnsi="Arial"/>
    </w:rPr>
    <w:tblPr>
      <w:tblCellMar>
        <w:top w:w="0" w:type="dxa"/>
        <w:left w:w="108" w:type="dxa"/>
        <w:bottom w:w="0" w:type="dxa"/>
        <w:right w:w="108" w:type="dxa"/>
      </w:tblCellMar>
    </w:tblPr>
  </w:style>
  <w:style w:type="table" w:customStyle="1" w:styleId="323">
    <w:name w:val="Grid Table 3 - Accent 41"/>
    <w:basedOn w:val="42"/>
    <w:qFormat/>
    <w:uiPriority w:val="99"/>
    <w:rPr>
      <w:rFonts w:ascii="Arial" w:hAnsi="Arial"/>
    </w:rPr>
    <w:tblPr>
      <w:tblCellMar>
        <w:top w:w="0" w:type="dxa"/>
        <w:left w:w="108" w:type="dxa"/>
        <w:bottom w:w="0" w:type="dxa"/>
        <w:right w:w="108" w:type="dxa"/>
      </w:tblCellMar>
    </w:tblPr>
  </w:style>
  <w:style w:type="table" w:customStyle="1" w:styleId="324">
    <w:name w:val="Grid Table 3 - Accent 51"/>
    <w:basedOn w:val="42"/>
    <w:qFormat/>
    <w:uiPriority w:val="99"/>
    <w:rPr>
      <w:rFonts w:ascii="Arial" w:hAnsi="Arial"/>
    </w:rPr>
    <w:tblPr>
      <w:tblCellMar>
        <w:top w:w="0" w:type="dxa"/>
        <w:left w:w="108" w:type="dxa"/>
        <w:bottom w:w="0" w:type="dxa"/>
        <w:right w:w="108" w:type="dxa"/>
      </w:tblCellMar>
    </w:tblPr>
  </w:style>
  <w:style w:type="table" w:customStyle="1" w:styleId="325">
    <w:name w:val="Grid Table 3 - Accent 61"/>
    <w:basedOn w:val="42"/>
    <w:qFormat/>
    <w:uiPriority w:val="99"/>
    <w:rPr>
      <w:rFonts w:ascii="Arial" w:hAnsi="Arial"/>
    </w:rPr>
    <w:tblPr>
      <w:tblCellMar>
        <w:top w:w="0" w:type="dxa"/>
        <w:left w:w="108" w:type="dxa"/>
        <w:bottom w:w="0" w:type="dxa"/>
        <w:right w:w="108" w:type="dxa"/>
      </w:tblCellMar>
    </w:tblPr>
  </w:style>
  <w:style w:type="table" w:customStyle="1" w:styleId="326">
    <w:name w:val="网格表 411"/>
    <w:basedOn w:val="42"/>
    <w:qFormat/>
    <w:uiPriority w:val="59"/>
    <w:rPr>
      <w:rFonts w:ascii="Arial" w:hAnsi="Arial"/>
    </w:rPr>
    <w:tblPr>
      <w:tblCellMar>
        <w:top w:w="0" w:type="dxa"/>
        <w:left w:w="108" w:type="dxa"/>
        <w:bottom w:w="0" w:type="dxa"/>
        <w:right w:w="108" w:type="dxa"/>
      </w:tblCellMar>
    </w:tblPr>
  </w:style>
  <w:style w:type="table" w:customStyle="1" w:styleId="327">
    <w:name w:val="Grid Table 4 - Accent 11"/>
    <w:basedOn w:val="42"/>
    <w:qFormat/>
    <w:uiPriority w:val="59"/>
    <w:rPr>
      <w:rFonts w:ascii="Arial" w:hAnsi="Arial"/>
    </w:rPr>
    <w:tblPr>
      <w:tblCellMar>
        <w:top w:w="0" w:type="dxa"/>
        <w:left w:w="108" w:type="dxa"/>
        <w:bottom w:w="0" w:type="dxa"/>
        <w:right w:w="108" w:type="dxa"/>
      </w:tblCellMar>
    </w:tblPr>
  </w:style>
  <w:style w:type="table" w:customStyle="1" w:styleId="328">
    <w:name w:val="Grid Table 4 - Accent 21"/>
    <w:basedOn w:val="42"/>
    <w:qFormat/>
    <w:uiPriority w:val="59"/>
    <w:rPr>
      <w:rFonts w:ascii="Arial" w:hAnsi="Arial"/>
    </w:rPr>
    <w:tblPr>
      <w:tblCellMar>
        <w:top w:w="0" w:type="dxa"/>
        <w:left w:w="108" w:type="dxa"/>
        <w:bottom w:w="0" w:type="dxa"/>
        <w:right w:w="108" w:type="dxa"/>
      </w:tblCellMar>
    </w:tblPr>
  </w:style>
  <w:style w:type="table" w:customStyle="1" w:styleId="329">
    <w:name w:val="Grid Table 4 - Accent 31"/>
    <w:basedOn w:val="42"/>
    <w:qFormat/>
    <w:uiPriority w:val="59"/>
    <w:rPr>
      <w:rFonts w:ascii="Arial" w:hAnsi="Arial"/>
    </w:rPr>
    <w:tblPr>
      <w:tblCellMar>
        <w:top w:w="0" w:type="dxa"/>
        <w:left w:w="108" w:type="dxa"/>
        <w:bottom w:w="0" w:type="dxa"/>
        <w:right w:w="108" w:type="dxa"/>
      </w:tblCellMar>
    </w:tblPr>
  </w:style>
  <w:style w:type="table" w:customStyle="1" w:styleId="330">
    <w:name w:val="Grid Table 4 - Accent 41"/>
    <w:basedOn w:val="42"/>
    <w:qFormat/>
    <w:uiPriority w:val="59"/>
    <w:rPr>
      <w:rFonts w:ascii="Arial" w:hAnsi="Arial"/>
    </w:rPr>
    <w:tblPr>
      <w:tblCellMar>
        <w:top w:w="0" w:type="dxa"/>
        <w:left w:w="108" w:type="dxa"/>
        <w:bottom w:w="0" w:type="dxa"/>
        <w:right w:w="108" w:type="dxa"/>
      </w:tblCellMar>
    </w:tblPr>
  </w:style>
  <w:style w:type="table" w:customStyle="1" w:styleId="331">
    <w:name w:val="Grid Table 4 - Accent 51"/>
    <w:basedOn w:val="42"/>
    <w:qFormat/>
    <w:uiPriority w:val="59"/>
    <w:rPr>
      <w:rFonts w:ascii="Arial" w:hAnsi="Arial"/>
    </w:rPr>
    <w:tblPr>
      <w:tblCellMar>
        <w:top w:w="0" w:type="dxa"/>
        <w:left w:w="108" w:type="dxa"/>
        <w:bottom w:w="0" w:type="dxa"/>
        <w:right w:w="108" w:type="dxa"/>
      </w:tblCellMar>
    </w:tblPr>
  </w:style>
  <w:style w:type="table" w:customStyle="1" w:styleId="332">
    <w:name w:val="Grid Table 4 - Accent 61"/>
    <w:basedOn w:val="42"/>
    <w:qFormat/>
    <w:uiPriority w:val="59"/>
    <w:rPr>
      <w:rFonts w:ascii="Arial" w:hAnsi="Arial"/>
    </w:rPr>
    <w:tblPr>
      <w:tblCellMar>
        <w:top w:w="0" w:type="dxa"/>
        <w:left w:w="108" w:type="dxa"/>
        <w:bottom w:w="0" w:type="dxa"/>
        <w:right w:w="108" w:type="dxa"/>
      </w:tblCellMar>
    </w:tblPr>
  </w:style>
  <w:style w:type="table" w:customStyle="1" w:styleId="333">
    <w:name w:val="网格表 5 深色11"/>
    <w:basedOn w:val="42"/>
    <w:qFormat/>
    <w:uiPriority w:val="99"/>
    <w:rPr>
      <w:rFonts w:ascii="Arial" w:hAnsi="Arial"/>
    </w:rPr>
    <w:tblPr>
      <w:tblCellMar>
        <w:top w:w="0" w:type="dxa"/>
        <w:left w:w="108" w:type="dxa"/>
        <w:bottom w:w="0" w:type="dxa"/>
        <w:right w:w="108" w:type="dxa"/>
      </w:tblCellMar>
    </w:tblPr>
  </w:style>
  <w:style w:type="table" w:customStyle="1" w:styleId="334">
    <w:name w:val="Grid Table 5 Dark- Accent 11"/>
    <w:basedOn w:val="42"/>
    <w:qFormat/>
    <w:uiPriority w:val="99"/>
    <w:rPr>
      <w:rFonts w:ascii="Arial" w:hAnsi="Arial"/>
    </w:rPr>
    <w:tblPr>
      <w:tblCellMar>
        <w:top w:w="0" w:type="dxa"/>
        <w:left w:w="108" w:type="dxa"/>
        <w:bottom w:w="0" w:type="dxa"/>
        <w:right w:w="108" w:type="dxa"/>
      </w:tblCellMar>
    </w:tblPr>
  </w:style>
  <w:style w:type="table" w:customStyle="1" w:styleId="335">
    <w:name w:val="Grid Table 5 Dark - Accent 21"/>
    <w:basedOn w:val="42"/>
    <w:qFormat/>
    <w:uiPriority w:val="99"/>
    <w:rPr>
      <w:rFonts w:ascii="Arial" w:hAnsi="Arial"/>
    </w:rPr>
    <w:tblPr>
      <w:tblCellMar>
        <w:top w:w="0" w:type="dxa"/>
        <w:left w:w="108" w:type="dxa"/>
        <w:bottom w:w="0" w:type="dxa"/>
        <w:right w:w="108" w:type="dxa"/>
      </w:tblCellMar>
    </w:tblPr>
  </w:style>
  <w:style w:type="table" w:customStyle="1" w:styleId="336">
    <w:name w:val="Grid Table 5 Dark - Accent 31"/>
    <w:basedOn w:val="42"/>
    <w:qFormat/>
    <w:uiPriority w:val="99"/>
    <w:rPr>
      <w:rFonts w:ascii="Arial" w:hAnsi="Arial"/>
    </w:rPr>
    <w:tblPr>
      <w:tblCellMar>
        <w:top w:w="0" w:type="dxa"/>
        <w:left w:w="108" w:type="dxa"/>
        <w:bottom w:w="0" w:type="dxa"/>
        <w:right w:w="108" w:type="dxa"/>
      </w:tblCellMar>
    </w:tblPr>
  </w:style>
  <w:style w:type="table" w:customStyle="1" w:styleId="337">
    <w:name w:val="Grid Table 5 Dark- Accent 41"/>
    <w:basedOn w:val="42"/>
    <w:qFormat/>
    <w:uiPriority w:val="99"/>
    <w:rPr>
      <w:rFonts w:ascii="Arial" w:hAnsi="Arial"/>
    </w:rPr>
    <w:tblPr>
      <w:tblCellMar>
        <w:top w:w="0" w:type="dxa"/>
        <w:left w:w="108" w:type="dxa"/>
        <w:bottom w:w="0" w:type="dxa"/>
        <w:right w:w="108" w:type="dxa"/>
      </w:tblCellMar>
    </w:tblPr>
  </w:style>
  <w:style w:type="table" w:customStyle="1" w:styleId="338">
    <w:name w:val="Grid Table 5 Dark - Accent 51"/>
    <w:basedOn w:val="42"/>
    <w:qFormat/>
    <w:uiPriority w:val="99"/>
    <w:rPr>
      <w:rFonts w:ascii="Arial" w:hAnsi="Arial"/>
    </w:rPr>
    <w:tblPr>
      <w:tblCellMar>
        <w:top w:w="0" w:type="dxa"/>
        <w:left w:w="108" w:type="dxa"/>
        <w:bottom w:w="0" w:type="dxa"/>
        <w:right w:w="108" w:type="dxa"/>
      </w:tblCellMar>
    </w:tblPr>
  </w:style>
  <w:style w:type="table" w:customStyle="1" w:styleId="339">
    <w:name w:val="Grid Table 5 Dark - Accent 61"/>
    <w:basedOn w:val="42"/>
    <w:qFormat/>
    <w:uiPriority w:val="99"/>
    <w:rPr>
      <w:rFonts w:ascii="Arial" w:hAnsi="Arial"/>
    </w:rPr>
    <w:tblPr>
      <w:tblCellMar>
        <w:top w:w="0" w:type="dxa"/>
        <w:left w:w="108" w:type="dxa"/>
        <w:bottom w:w="0" w:type="dxa"/>
        <w:right w:w="108" w:type="dxa"/>
      </w:tblCellMar>
    </w:tblPr>
  </w:style>
  <w:style w:type="table" w:customStyle="1" w:styleId="340">
    <w:name w:val="网格表 6 彩色11"/>
    <w:basedOn w:val="42"/>
    <w:qFormat/>
    <w:uiPriority w:val="99"/>
    <w:rPr>
      <w:rFonts w:ascii="Arial" w:hAnsi="Arial"/>
    </w:rPr>
    <w:tblPr>
      <w:tblCellMar>
        <w:top w:w="0" w:type="dxa"/>
        <w:left w:w="108" w:type="dxa"/>
        <w:bottom w:w="0" w:type="dxa"/>
        <w:right w:w="108" w:type="dxa"/>
      </w:tblCellMar>
    </w:tblPr>
  </w:style>
  <w:style w:type="table" w:customStyle="1" w:styleId="341">
    <w:name w:val="Grid Table 6 Colorful - Accent 11"/>
    <w:basedOn w:val="42"/>
    <w:qFormat/>
    <w:uiPriority w:val="99"/>
    <w:rPr>
      <w:rFonts w:ascii="Arial" w:hAnsi="Arial"/>
    </w:rPr>
    <w:tblPr>
      <w:tblCellMar>
        <w:top w:w="0" w:type="dxa"/>
        <w:left w:w="108" w:type="dxa"/>
        <w:bottom w:w="0" w:type="dxa"/>
        <w:right w:w="108" w:type="dxa"/>
      </w:tblCellMar>
    </w:tblPr>
  </w:style>
  <w:style w:type="table" w:customStyle="1" w:styleId="342">
    <w:name w:val="Grid Table 6 Colorful - Accent 21"/>
    <w:basedOn w:val="42"/>
    <w:qFormat/>
    <w:uiPriority w:val="99"/>
    <w:rPr>
      <w:rFonts w:ascii="Arial" w:hAnsi="Arial"/>
    </w:rPr>
    <w:tblPr>
      <w:tblCellMar>
        <w:top w:w="0" w:type="dxa"/>
        <w:left w:w="108" w:type="dxa"/>
        <w:bottom w:w="0" w:type="dxa"/>
        <w:right w:w="108" w:type="dxa"/>
      </w:tblCellMar>
    </w:tblPr>
  </w:style>
  <w:style w:type="table" w:customStyle="1" w:styleId="343">
    <w:name w:val="Grid Table 6 Colorful - Accent 31"/>
    <w:basedOn w:val="42"/>
    <w:qFormat/>
    <w:uiPriority w:val="99"/>
    <w:rPr>
      <w:rFonts w:ascii="Arial" w:hAnsi="Arial"/>
    </w:rPr>
    <w:tblPr>
      <w:tblCellMar>
        <w:top w:w="0" w:type="dxa"/>
        <w:left w:w="108" w:type="dxa"/>
        <w:bottom w:w="0" w:type="dxa"/>
        <w:right w:w="108" w:type="dxa"/>
      </w:tblCellMar>
    </w:tblPr>
  </w:style>
  <w:style w:type="table" w:customStyle="1" w:styleId="344">
    <w:name w:val="Grid Table 6 Colorful - Accent 41"/>
    <w:basedOn w:val="42"/>
    <w:qFormat/>
    <w:uiPriority w:val="99"/>
    <w:rPr>
      <w:rFonts w:ascii="Arial" w:hAnsi="Arial"/>
    </w:rPr>
    <w:tblPr>
      <w:tblCellMar>
        <w:top w:w="0" w:type="dxa"/>
        <w:left w:w="108" w:type="dxa"/>
        <w:bottom w:w="0" w:type="dxa"/>
        <w:right w:w="108" w:type="dxa"/>
      </w:tblCellMar>
    </w:tblPr>
  </w:style>
  <w:style w:type="table" w:customStyle="1" w:styleId="345">
    <w:name w:val="Grid Table 6 Colorful - Accent 51"/>
    <w:basedOn w:val="42"/>
    <w:qFormat/>
    <w:uiPriority w:val="99"/>
    <w:rPr>
      <w:rFonts w:ascii="Arial" w:hAnsi="Arial"/>
    </w:rPr>
    <w:tblPr>
      <w:tblCellMar>
        <w:top w:w="0" w:type="dxa"/>
        <w:left w:w="108" w:type="dxa"/>
        <w:bottom w:w="0" w:type="dxa"/>
        <w:right w:w="108" w:type="dxa"/>
      </w:tblCellMar>
    </w:tblPr>
  </w:style>
  <w:style w:type="table" w:customStyle="1" w:styleId="346">
    <w:name w:val="Grid Table 6 Colorful - Accent 61"/>
    <w:basedOn w:val="42"/>
    <w:qFormat/>
    <w:uiPriority w:val="99"/>
    <w:rPr>
      <w:rFonts w:ascii="Arial" w:hAnsi="Arial"/>
    </w:rPr>
    <w:tblPr>
      <w:tblCellMar>
        <w:top w:w="0" w:type="dxa"/>
        <w:left w:w="108" w:type="dxa"/>
        <w:bottom w:w="0" w:type="dxa"/>
        <w:right w:w="108" w:type="dxa"/>
      </w:tblCellMar>
    </w:tblPr>
  </w:style>
  <w:style w:type="table" w:customStyle="1" w:styleId="347">
    <w:name w:val="网格表 7 彩色11"/>
    <w:basedOn w:val="42"/>
    <w:qFormat/>
    <w:uiPriority w:val="99"/>
    <w:rPr>
      <w:rFonts w:ascii="Arial" w:hAnsi="Arial"/>
    </w:rPr>
    <w:tblPr>
      <w:tblCellMar>
        <w:top w:w="0" w:type="dxa"/>
        <w:left w:w="108" w:type="dxa"/>
        <w:bottom w:w="0" w:type="dxa"/>
        <w:right w:w="108" w:type="dxa"/>
      </w:tblCellMar>
    </w:tblPr>
  </w:style>
  <w:style w:type="table" w:customStyle="1" w:styleId="348">
    <w:name w:val="Grid Table 7 Colorful - Accent 11"/>
    <w:basedOn w:val="42"/>
    <w:qFormat/>
    <w:uiPriority w:val="99"/>
    <w:rPr>
      <w:rFonts w:ascii="Arial" w:hAnsi="Arial"/>
    </w:rPr>
    <w:tblPr>
      <w:tblCellMar>
        <w:top w:w="0" w:type="dxa"/>
        <w:left w:w="108" w:type="dxa"/>
        <w:bottom w:w="0" w:type="dxa"/>
        <w:right w:w="108" w:type="dxa"/>
      </w:tblCellMar>
    </w:tblPr>
  </w:style>
  <w:style w:type="table" w:customStyle="1" w:styleId="349">
    <w:name w:val="Grid Table 7 Colorful - Accent 21"/>
    <w:basedOn w:val="42"/>
    <w:qFormat/>
    <w:uiPriority w:val="99"/>
    <w:rPr>
      <w:rFonts w:ascii="Arial" w:hAnsi="Arial"/>
    </w:rPr>
    <w:tblPr>
      <w:tblCellMar>
        <w:top w:w="0" w:type="dxa"/>
        <w:left w:w="108" w:type="dxa"/>
        <w:bottom w:w="0" w:type="dxa"/>
        <w:right w:w="108" w:type="dxa"/>
      </w:tblCellMar>
    </w:tblPr>
  </w:style>
  <w:style w:type="table" w:customStyle="1" w:styleId="350">
    <w:name w:val="Grid Table 7 Colorful - Accent 31"/>
    <w:basedOn w:val="42"/>
    <w:qFormat/>
    <w:uiPriority w:val="99"/>
    <w:rPr>
      <w:rFonts w:ascii="Arial" w:hAnsi="Arial"/>
    </w:rPr>
    <w:tblPr>
      <w:tblCellMar>
        <w:top w:w="0" w:type="dxa"/>
        <w:left w:w="108" w:type="dxa"/>
        <w:bottom w:w="0" w:type="dxa"/>
        <w:right w:w="108" w:type="dxa"/>
      </w:tblCellMar>
    </w:tblPr>
  </w:style>
  <w:style w:type="table" w:customStyle="1" w:styleId="351">
    <w:name w:val="Grid Table 7 Colorful - Accent 41"/>
    <w:basedOn w:val="42"/>
    <w:qFormat/>
    <w:uiPriority w:val="99"/>
    <w:rPr>
      <w:rFonts w:ascii="Arial" w:hAnsi="Arial"/>
    </w:rPr>
    <w:tblPr>
      <w:tblCellMar>
        <w:top w:w="0" w:type="dxa"/>
        <w:left w:w="108" w:type="dxa"/>
        <w:bottom w:w="0" w:type="dxa"/>
        <w:right w:w="108" w:type="dxa"/>
      </w:tblCellMar>
    </w:tblPr>
  </w:style>
  <w:style w:type="table" w:customStyle="1" w:styleId="352">
    <w:name w:val="Grid Table 7 Colorful - Accent 51"/>
    <w:basedOn w:val="42"/>
    <w:qFormat/>
    <w:uiPriority w:val="99"/>
    <w:rPr>
      <w:rFonts w:ascii="Arial" w:hAnsi="Arial"/>
    </w:rPr>
    <w:tblPr>
      <w:tblCellMar>
        <w:top w:w="0" w:type="dxa"/>
        <w:left w:w="108" w:type="dxa"/>
        <w:bottom w:w="0" w:type="dxa"/>
        <w:right w:w="108" w:type="dxa"/>
      </w:tblCellMar>
    </w:tblPr>
  </w:style>
  <w:style w:type="table" w:customStyle="1" w:styleId="353">
    <w:name w:val="Grid Table 7 Colorful - Accent 61"/>
    <w:basedOn w:val="42"/>
    <w:qFormat/>
    <w:uiPriority w:val="99"/>
    <w:rPr>
      <w:rFonts w:ascii="Arial" w:hAnsi="Arial"/>
    </w:rPr>
    <w:tblPr>
      <w:tblCellMar>
        <w:top w:w="0" w:type="dxa"/>
        <w:left w:w="108" w:type="dxa"/>
        <w:bottom w:w="0" w:type="dxa"/>
        <w:right w:w="108" w:type="dxa"/>
      </w:tblCellMar>
    </w:tblPr>
  </w:style>
  <w:style w:type="table" w:customStyle="1" w:styleId="354">
    <w:name w:val="清单表 1 浅色11"/>
    <w:basedOn w:val="42"/>
    <w:qFormat/>
    <w:uiPriority w:val="99"/>
    <w:rPr>
      <w:rFonts w:ascii="Arial" w:hAnsi="Arial"/>
    </w:rPr>
    <w:tblPr>
      <w:tblCellMar>
        <w:top w:w="0" w:type="dxa"/>
        <w:left w:w="108" w:type="dxa"/>
        <w:bottom w:w="0" w:type="dxa"/>
        <w:right w:w="108" w:type="dxa"/>
      </w:tblCellMar>
    </w:tblPr>
  </w:style>
  <w:style w:type="table" w:customStyle="1" w:styleId="355">
    <w:name w:val="List Table 1 Light - Accent 11"/>
    <w:basedOn w:val="42"/>
    <w:qFormat/>
    <w:uiPriority w:val="99"/>
    <w:rPr>
      <w:rFonts w:ascii="Arial" w:hAnsi="Arial"/>
    </w:rPr>
    <w:tblPr>
      <w:tblCellMar>
        <w:top w:w="0" w:type="dxa"/>
        <w:left w:w="108" w:type="dxa"/>
        <w:bottom w:w="0" w:type="dxa"/>
        <w:right w:w="108" w:type="dxa"/>
      </w:tblCellMar>
    </w:tblPr>
  </w:style>
  <w:style w:type="table" w:customStyle="1" w:styleId="356">
    <w:name w:val="List Table 1 Light - Accent 21"/>
    <w:basedOn w:val="42"/>
    <w:qFormat/>
    <w:uiPriority w:val="99"/>
    <w:rPr>
      <w:rFonts w:ascii="Arial" w:hAnsi="Arial"/>
    </w:rPr>
    <w:tblPr>
      <w:tblCellMar>
        <w:top w:w="0" w:type="dxa"/>
        <w:left w:w="108" w:type="dxa"/>
        <w:bottom w:w="0" w:type="dxa"/>
        <w:right w:w="108" w:type="dxa"/>
      </w:tblCellMar>
    </w:tblPr>
  </w:style>
  <w:style w:type="table" w:customStyle="1" w:styleId="357">
    <w:name w:val="List Table 1 Light - Accent 31"/>
    <w:basedOn w:val="42"/>
    <w:qFormat/>
    <w:uiPriority w:val="99"/>
    <w:rPr>
      <w:rFonts w:ascii="Arial" w:hAnsi="Arial"/>
    </w:rPr>
    <w:tblPr>
      <w:tblCellMar>
        <w:top w:w="0" w:type="dxa"/>
        <w:left w:w="108" w:type="dxa"/>
        <w:bottom w:w="0" w:type="dxa"/>
        <w:right w:w="108" w:type="dxa"/>
      </w:tblCellMar>
    </w:tblPr>
  </w:style>
  <w:style w:type="table" w:customStyle="1" w:styleId="358">
    <w:name w:val="List Table 1 Light - Accent 41"/>
    <w:basedOn w:val="42"/>
    <w:qFormat/>
    <w:uiPriority w:val="99"/>
    <w:rPr>
      <w:rFonts w:ascii="Arial" w:hAnsi="Arial"/>
    </w:rPr>
    <w:tblPr>
      <w:tblCellMar>
        <w:top w:w="0" w:type="dxa"/>
        <w:left w:w="108" w:type="dxa"/>
        <w:bottom w:w="0" w:type="dxa"/>
        <w:right w:w="108" w:type="dxa"/>
      </w:tblCellMar>
    </w:tblPr>
  </w:style>
  <w:style w:type="table" w:customStyle="1" w:styleId="359">
    <w:name w:val="List Table 1 Light - Accent 51"/>
    <w:basedOn w:val="42"/>
    <w:qFormat/>
    <w:uiPriority w:val="99"/>
    <w:rPr>
      <w:rFonts w:ascii="Arial" w:hAnsi="Arial"/>
    </w:rPr>
    <w:tblPr>
      <w:tblCellMar>
        <w:top w:w="0" w:type="dxa"/>
        <w:left w:w="108" w:type="dxa"/>
        <w:bottom w:w="0" w:type="dxa"/>
        <w:right w:w="108" w:type="dxa"/>
      </w:tblCellMar>
    </w:tblPr>
  </w:style>
  <w:style w:type="table" w:customStyle="1" w:styleId="360">
    <w:name w:val="List Table 1 Light - Accent 61"/>
    <w:basedOn w:val="42"/>
    <w:qFormat/>
    <w:uiPriority w:val="99"/>
    <w:rPr>
      <w:rFonts w:ascii="Arial" w:hAnsi="Arial"/>
    </w:rPr>
    <w:tblPr>
      <w:tblCellMar>
        <w:top w:w="0" w:type="dxa"/>
        <w:left w:w="108" w:type="dxa"/>
        <w:bottom w:w="0" w:type="dxa"/>
        <w:right w:w="108" w:type="dxa"/>
      </w:tblCellMar>
    </w:tblPr>
  </w:style>
  <w:style w:type="table" w:customStyle="1" w:styleId="361">
    <w:name w:val="清单表 211"/>
    <w:basedOn w:val="42"/>
    <w:qFormat/>
    <w:uiPriority w:val="99"/>
    <w:rPr>
      <w:rFonts w:ascii="Arial" w:hAnsi="Arial"/>
    </w:rPr>
    <w:tblPr>
      <w:tblCellMar>
        <w:top w:w="0" w:type="dxa"/>
        <w:left w:w="108" w:type="dxa"/>
        <w:bottom w:w="0" w:type="dxa"/>
        <w:right w:w="108" w:type="dxa"/>
      </w:tblCellMar>
    </w:tblPr>
  </w:style>
  <w:style w:type="table" w:customStyle="1" w:styleId="362">
    <w:name w:val="List Table 2 - Accent 11"/>
    <w:basedOn w:val="42"/>
    <w:qFormat/>
    <w:uiPriority w:val="99"/>
    <w:rPr>
      <w:rFonts w:ascii="Arial" w:hAnsi="Arial"/>
    </w:rPr>
    <w:tblPr>
      <w:tblCellMar>
        <w:top w:w="0" w:type="dxa"/>
        <w:left w:w="108" w:type="dxa"/>
        <w:bottom w:w="0" w:type="dxa"/>
        <w:right w:w="108" w:type="dxa"/>
      </w:tblCellMar>
    </w:tblPr>
  </w:style>
  <w:style w:type="table" w:customStyle="1" w:styleId="363">
    <w:name w:val="List Table 2 - Accent 21"/>
    <w:basedOn w:val="42"/>
    <w:qFormat/>
    <w:uiPriority w:val="99"/>
    <w:rPr>
      <w:rFonts w:ascii="Arial" w:hAnsi="Arial"/>
    </w:rPr>
    <w:tblPr>
      <w:tblCellMar>
        <w:top w:w="0" w:type="dxa"/>
        <w:left w:w="108" w:type="dxa"/>
        <w:bottom w:w="0" w:type="dxa"/>
        <w:right w:w="108" w:type="dxa"/>
      </w:tblCellMar>
    </w:tblPr>
  </w:style>
  <w:style w:type="table" w:customStyle="1" w:styleId="364">
    <w:name w:val="List Table 2 - Accent 31"/>
    <w:basedOn w:val="42"/>
    <w:qFormat/>
    <w:uiPriority w:val="99"/>
    <w:rPr>
      <w:rFonts w:ascii="Arial" w:hAnsi="Arial"/>
    </w:rPr>
    <w:tblPr>
      <w:tblCellMar>
        <w:top w:w="0" w:type="dxa"/>
        <w:left w:w="108" w:type="dxa"/>
        <w:bottom w:w="0" w:type="dxa"/>
        <w:right w:w="108" w:type="dxa"/>
      </w:tblCellMar>
    </w:tblPr>
  </w:style>
  <w:style w:type="table" w:customStyle="1" w:styleId="365">
    <w:name w:val="List Table 2 - Accent 41"/>
    <w:basedOn w:val="42"/>
    <w:qFormat/>
    <w:uiPriority w:val="99"/>
    <w:rPr>
      <w:rFonts w:ascii="Arial" w:hAnsi="Arial"/>
    </w:rPr>
    <w:tblPr>
      <w:tblCellMar>
        <w:top w:w="0" w:type="dxa"/>
        <w:left w:w="108" w:type="dxa"/>
        <w:bottom w:w="0" w:type="dxa"/>
        <w:right w:w="108" w:type="dxa"/>
      </w:tblCellMar>
    </w:tblPr>
  </w:style>
  <w:style w:type="table" w:customStyle="1" w:styleId="366">
    <w:name w:val="List Table 2 - Accent 51"/>
    <w:basedOn w:val="42"/>
    <w:qFormat/>
    <w:uiPriority w:val="99"/>
    <w:rPr>
      <w:rFonts w:ascii="Arial" w:hAnsi="Arial"/>
    </w:rPr>
    <w:tblPr>
      <w:tblCellMar>
        <w:top w:w="0" w:type="dxa"/>
        <w:left w:w="108" w:type="dxa"/>
        <w:bottom w:w="0" w:type="dxa"/>
        <w:right w:w="108" w:type="dxa"/>
      </w:tblCellMar>
    </w:tblPr>
  </w:style>
  <w:style w:type="table" w:customStyle="1" w:styleId="367">
    <w:name w:val="List Table 2 - Accent 61"/>
    <w:basedOn w:val="42"/>
    <w:qFormat/>
    <w:uiPriority w:val="99"/>
    <w:rPr>
      <w:rFonts w:ascii="Arial" w:hAnsi="Arial"/>
    </w:rPr>
    <w:tblPr>
      <w:tblCellMar>
        <w:top w:w="0" w:type="dxa"/>
        <w:left w:w="108" w:type="dxa"/>
        <w:bottom w:w="0" w:type="dxa"/>
        <w:right w:w="108" w:type="dxa"/>
      </w:tblCellMar>
    </w:tblPr>
  </w:style>
  <w:style w:type="table" w:customStyle="1" w:styleId="368">
    <w:name w:val="清单表 311"/>
    <w:basedOn w:val="42"/>
    <w:qFormat/>
    <w:uiPriority w:val="99"/>
    <w:rPr>
      <w:rFonts w:ascii="Arial" w:hAnsi="Arial"/>
    </w:rPr>
    <w:tblPr>
      <w:tblCellMar>
        <w:top w:w="0" w:type="dxa"/>
        <w:left w:w="108" w:type="dxa"/>
        <w:bottom w:w="0" w:type="dxa"/>
        <w:right w:w="108" w:type="dxa"/>
      </w:tblCellMar>
    </w:tblPr>
  </w:style>
  <w:style w:type="table" w:customStyle="1" w:styleId="369">
    <w:name w:val="List Table 3 - Accent 11"/>
    <w:basedOn w:val="42"/>
    <w:qFormat/>
    <w:uiPriority w:val="99"/>
    <w:rPr>
      <w:rFonts w:ascii="Arial" w:hAnsi="Arial"/>
    </w:rPr>
    <w:tblPr>
      <w:tblCellMar>
        <w:top w:w="0" w:type="dxa"/>
        <w:left w:w="108" w:type="dxa"/>
        <w:bottom w:w="0" w:type="dxa"/>
        <w:right w:w="108" w:type="dxa"/>
      </w:tblCellMar>
    </w:tblPr>
  </w:style>
  <w:style w:type="table" w:customStyle="1" w:styleId="370">
    <w:name w:val="List Table 3 - Accent 21"/>
    <w:basedOn w:val="42"/>
    <w:qFormat/>
    <w:uiPriority w:val="99"/>
    <w:rPr>
      <w:rFonts w:ascii="Arial" w:hAnsi="Arial"/>
    </w:rPr>
    <w:tblPr>
      <w:tblCellMar>
        <w:top w:w="0" w:type="dxa"/>
        <w:left w:w="108" w:type="dxa"/>
        <w:bottom w:w="0" w:type="dxa"/>
        <w:right w:w="108" w:type="dxa"/>
      </w:tblCellMar>
    </w:tblPr>
  </w:style>
  <w:style w:type="table" w:customStyle="1" w:styleId="371">
    <w:name w:val="List Table 3 - Accent 31"/>
    <w:basedOn w:val="42"/>
    <w:qFormat/>
    <w:uiPriority w:val="99"/>
    <w:rPr>
      <w:rFonts w:ascii="Arial" w:hAnsi="Arial"/>
    </w:rPr>
    <w:tblPr>
      <w:tblCellMar>
        <w:top w:w="0" w:type="dxa"/>
        <w:left w:w="108" w:type="dxa"/>
        <w:bottom w:w="0" w:type="dxa"/>
        <w:right w:w="108" w:type="dxa"/>
      </w:tblCellMar>
    </w:tblPr>
  </w:style>
  <w:style w:type="table" w:customStyle="1" w:styleId="372">
    <w:name w:val="List Table 3 - Accent 41"/>
    <w:basedOn w:val="42"/>
    <w:qFormat/>
    <w:uiPriority w:val="99"/>
    <w:rPr>
      <w:rFonts w:ascii="Arial" w:hAnsi="Arial"/>
    </w:rPr>
    <w:tblPr>
      <w:tblCellMar>
        <w:top w:w="0" w:type="dxa"/>
        <w:left w:w="108" w:type="dxa"/>
        <w:bottom w:w="0" w:type="dxa"/>
        <w:right w:w="108" w:type="dxa"/>
      </w:tblCellMar>
    </w:tblPr>
  </w:style>
  <w:style w:type="table" w:customStyle="1" w:styleId="373">
    <w:name w:val="List Table 3 - Accent 51"/>
    <w:basedOn w:val="42"/>
    <w:qFormat/>
    <w:uiPriority w:val="99"/>
    <w:rPr>
      <w:rFonts w:ascii="Arial" w:hAnsi="Arial"/>
    </w:rPr>
    <w:tblPr>
      <w:tblCellMar>
        <w:top w:w="0" w:type="dxa"/>
        <w:left w:w="108" w:type="dxa"/>
        <w:bottom w:w="0" w:type="dxa"/>
        <w:right w:w="108" w:type="dxa"/>
      </w:tblCellMar>
    </w:tblPr>
  </w:style>
  <w:style w:type="table" w:customStyle="1" w:styleId="374">
    <w:name w:val="List Table 3 - Accent 61"/>
    <w:basedOn w:val="42"/>
    <w:qFormat/>
    <w:uiPriority w:val="99"/>
    <w:rPr>
      <w:rFonts w:ascii="Arial" w:hAnsi="Arial"/>
    </w:rPr>
    <w:tblPr>
      <w:tblCellMar>
        <w:top w:w="0" w:type="dxa"/>
        <w:left w:w="108" w:type="dxa"/>
        <w:bottom w:w="0" w:type="dxa"/>
        <w:right w:w="108" w:type="dxa"/>
      </w:tblCellMar>
    </w:tblPr>
  </w:style>
  <w:style w:type="table" w:customStyle="1" w:styleId="375">
    <w:name w:val="清单表 411"/>
    <w:basedOn w:val="42"/>
    <w:qFormat/>
    <w:uiPriority w:val="99"/>
    <w:rPr>
      <w:rFonts w:ascii="Arial" w:hAnsi="Arial"/>
    </w:rPr>
    <w:tblPr>
      <w:tblCellMar>
        <w:top w:w="0" w:type="dxa"/>
        <w:left w:w="108" w:type="dxa"/>
        <w:bottom w:w="0" w:type="dxa"/>
        <w:right w:w="108" w:type="dxa"/>
      </w:tblCellMar>
    </w:tblPr>
  </w:style>
  <w:style w:type="table" w:customStyle="1" w:styleId="376">
    <w:name w:val="List Table 4 - Accent 11"/>
    <w:basedOn w:val="42"/>
    <w:qFormat/>
    <w:uiPriority w:val="99"/>
    <w:rPr>
      <w:rFonts w:ascii="Arial" w:hAnsi="Arial"/>
    </w:rPr>
    <w:tblPr>
      <w:tblCellMar>
        <w:top w:w="0" w:type="dxa"/>
        <w:left w:w="108" w:type="dxa"/>
        <w:bottom w:w="0" w:type="dxa"/>
        <w:right w:w="108" w:type="dxa"/>
      </w:tblCellMar>
    </w:tblPr>
  </w:style>
  <w:style w:type="table" w:customStyle="1" w:styleId="377">
    <w:name w:val="List Table 4 - Accent 21"/>
    <w:basedOn w:val="42"/>
    <w:qFormat/>
    <w:uiPriority w:val="99"/>
    <w:rPr>
      <w:rFonts w:ascii="Arial" w:hAnsi="Arial"/>
    </w:rPr>
    <w:tblPr>
      <w:tblCellMar>
        <w:top w:w="0" w:type="dxa"/>
        <w:left w:w="108" w:type="dxa"/>
        <w:bottom w:w="0" w:type="dxa"/>
        <w:right w:w="108" w:type="dxa"/>
      </w:tblCellMar>
    </w:tblPr>
  </w:style>
  <w:style w:type="table" w:customStyle="1" w:styleId="378">
    <w:name w:val="List Table 4 - Accent 31"/>
    <w:basedOn w:val="42"/>
    <w:qFormat/>
    <w:uiPriority w:val="99"/>
    <w:rPr>
      <w:rFonts w:ascii="Arial" w:hAnsi="Arial"/>
    </w:rPr>
    <w:tblPr>
      <w:tblCellMar>
        <w:top w:w="0" w:type="dxa"/>
        <w:left w:w="108" w:type="dxa"/>
        <w:bottom w:w="0" w:type="dxa"/>
        <w:right w:w="108" w:type="dxa"/>
      </w:tblCellMar>
    </w:tblPr>
  </w:style>
  <w:style w:type="table" w:customStyle="1" w:styleId="379">
    <w:name w:val="List Table 4 - Accent 41"/>
    <w:basedOn w:val="42"/>
    <w:qFormat/>
    <w:uiPriority w:val="99"/>
    <w:rPr>
      <w:rFonts w:ascii="Arial" w:hAnsi="Arial"/>
    </w:rPr>
    <w:tblPr>
      <w:tblCellMar>
        <w:top w:w="0" w:type="dxa"/>
        <w:left w:w="108" w:type="dxa"/>
        <w:bottom w:w="0" w:type="dxa"/>
        <w:right w:w="108" w:type="dxa"/>
      </w:tblCellMar>
    </w:tblPr>
  </w:style>
  <w:style w:type="table" w:customStyle="1" w:styleId="380">
    <w:name w:val="List Table 4 - Accent 51"/>
    <w:basedOn w:val="42"/>
    <w:qFormat/>
    <w:uiPriority w:val="99"/>
    <w:rPr>
      <w:rFonts w:ascii="Arial" w:hAnsi="Arial"/>
    </w:rPr>
    <w:tblPr>
      <w:tblCellMar>
        <w:top w:w="0" w:type="dxa"/>
        <w:left w:w="108" w:type="dxa"/>
        <w:bottom w:w="0" w:type="dxa"/>
        <w:right w:w="108" w:type="dxa"/>
      </w:tblCellMar>
    </w:tblPr>
  </w:style>
  <w:style w:type="table" w:customStyle="1" w:styleId="381">
    <w:name w:val="List Table 4 - Accent 61"/>
    <w:basedOn w:val="42"/>
    <w:qFormat/>
    <w:uiPriority w:val="99"/>
    <w:rPr>
      <w:rFonts w:ascii="Arial" w:hAnsi="Arial"/>
    </w:rPr>
    <w:tblPr>
      <w:tblCellMar>
        <w:top w:w="0" w:type="dxa"/>
        <w:left w:w="108" w:type="dxa"/>
        <w:bottom w:w="0" w:type="dxa"/>
        <w:right w:w="108" w:type="dxa"/>
      </w:tblCellMar>
    </w:tblPr>
  </w:style>
  <w:style w:type="table" w:customStyle="1" w:styleId="382">
    <w:name w:val="清单表 5 深色11"/>
    <w:basedOn w:val="42"/>
    <w:qFormat/>
    <w:uiPriority w:val="99"/>
    <w:rPr>
      <w:rFonts w:ascii="Arial" w:hAnsi="Arial"/>
    </w:rPr>
    <w:tblPr>
      <w:tblCellMar>
        <w:top w:w="0" w:type="dxa"/>
        <w:left w:w="108" w:type="dxa"/>
        <w:bottom w:w="0" w:type="dxa"/>
        <w:right w:w="108" w:type="dxa"/>
      </w:tblCellMar>
    </w:tblPr>
  </w:style>
  <w:style w:type="table" w:customStyle="1" w:styleId="383">
    <w:name w:val="List Table 5 Dark - Accent 11"/>
    <w:basedOn w:val="42"/>
    <w:qFormat/>
    <w:uiPriority w:val="99"/>
    <w:rPr>
      <w:rFonts w:ascii="Arial" w:hAnsi="Arial"/>
    </w:rPr>
    <w:tblPr>
      <w:tblCellMar>
        <w:top w:w="0" w:type="dxa"/>
        <w:left w:w="108" w:type="dxa"/>
        <w:bottom w:w="0" w:type="dxa"/>
        <w:right w:w="108" w:type="dxa"/>
      </w:tblCellMar>
    </w:tblPr>
  </w:style>
  <w:style w:type="table" w:customStyle="1" w:styleId="384">
    <w:name w:val="List Table 5 Dark - Accent 21"/>
    <w:basedOn w:val="42"/>
    <w:qFormat/>
    <w:uiPriority w:val="99"/>
    <w:rPr>
      <w:rFonts w:ascii="Arial" w:hAnsi="Arial"/>
    </w:rPr>
    <w:tblPr>
      <w:tblCellMar>
        <w:top w:w="0" w:type="dxa"/>
        <w:left w:w="108" w:type="dxa"/>
        <w:bottom w:w="0" w:type="dxa"/>
        <w:right w:w="108" w:type="dxa"/>
      </w:tblCellMar>
    </w:tblPr>
  </w:style>
  <w:style w:type="table" w:customStyle="1" w:styleId="385">
    <w:name w:val="List Table 5 Dark - Accent 31"/>
    <w:basedOn w:val="42"/>
    <w:qFormat/>
    <w:uiPriority w:val="99"/>
    <w:rPr>
      <w:rFonts w:ascii="Arial" w:hAnsi="Arial"/>
    </w:rPr>
    <w:tblPr>
      <w:tblCellMar>
        <w:top w:w="0" w:type="dxa"/>
        <w:left w:w="108" w:type="dxa"/>
        <w:bottom w:w="0" w:type="dxa"/>
        <w:right w:w="108" w:type="dxa"/>
      </w:tblCellMar>
    </w:tblPr>
  </w:style>
  <w:style w:type="table" w:customStyle="1" w:styleId="386">
    <w:name w:val="List Table 5 Dark - Accent 41"/>
    <w:basedOn w:val="42"/>
    <w:qFormat/>
    <w:uiPriority w:val="99"/>
    <w:rPr>
      <w:rFonts w:ascii="Arial" w:hAnsi="Arial"/>
    </w:rPr>
    <w:tblPr>
      <w:tblCellMar>
        <w:top w:w="0" w:type="dxa"/>
        <w:left w:w="108" w:type="dxa"/>
        <w:bottom w:w="0" w:type="dxa"/>
        <w:right w:w="108" w:type="dxa"/>
      </w:tblCellMar>
    </w:tblPr>
  </w:style>
  <w:style w:type="table" w:customStyle="1" w:styleId="387">
    <w:name w:val="List Table 5 Dark - Accent 51"/>
    <w:basedOn w:val="42"/>
    <w:qFormat/>
    <w:uiPriority w:val="99"/>
    <w:rPr>
      <w:rFonts w:ascii="Arial" w:hAnsi="Arial"/>
    </w:rPr>
    <w:tblPr>
      <w:tblCellMar>
        <w:top w:w="0" w:type="dxa"/>
        <w:left w:w="108" w:type="dxa"/>
        <w:bottom w:w="0" w:type="dxa"/>
        <w:right w:w="108" w:type="dxa"/>
      </w:tblCellMar>
    </w:tblPr>
  </w:style>
  <w:style w:type="table" w:customStyle="1" w:styleId="388">
    <w:name w:val="List Table 5 Dark - Accent 61"/>
    <w:basedOn w:val="42"/>
    <w:qFormat/>
    <w:uiPriority w:val="99"/>
    <w:rPr>
      <w:rFonts w:ascii="Arial" w:hAnsi="Arial"/>
    </w:rPr>
    <w:tblPr>
      <w:tblCellMar>
        <w:top w:w="0" w:type="dxa"/>
        <w:left w:w="108" w:type="dxa"/>
        <w:bottom w:w="0" w:type="dxa"/>
        <w:right w:w="108" w:type="dxa"/>
      </w:tblCellMar>
    </w:tblPr>
  </w:style>
  <w:style w:type="table" w:customStyle="1" w:styleId="389">
    <w:name w:val="清单表 6 彩色11"/>
    <w:basedOn w:val="42"/>
    <w:qFormat/>
    <w:uiPriority w:val="99"/>
    <w:rPr>
      <w:rFonts w:ascii="Arial" w:hAnsi="Arial"/>
    </w:rPr>
    <w:tblPr>
      <w:tblCellMar>
        <w:top w:w="0" w:type="dxa"/>
        <w:left w:w="108" w:type="dxa"/>
        <w:bottom w:w="0" w:type="dxa"/>
        <w:right w:w="108" w:type="dxa"/>
      </w:tblCellMar>
    </w:tblPr>
  </w:style>
  <w:style w:type="table" w:customStyle="1" w:styleId="390">
    <w:name w:val="List Table 6 Colorful - Accent 11"/>
    <w:basedOn w:val="42"/>
    <w:qFormat/>
    <w:uiPriority w:val="99"/>
    <w:rPr>
      <w:rFonts w:ascii="Arial" w:hAnsi="Arial"/>
    </w:rPr>
    <w:tblPr>
      <w:tblCellMar>
        <w:top w:w="0" w:type="dxa"/>
        <w:left w:w="108" w:type="dxa"/>
        <w:bottom w:w="0" w:type="dxa"/>
        <w:right w:w="108" w:type="dxa"/>
      </w:tblCellMar>
    </w:tblPr>
  </w:style>
  <w:style w:type="table" w:customStyle="1" w:styleId="391">
    <w:name w:val="List Table 6 Colorful - Accent 21"/>
    <w:basedOn w:val="42"/>
    <w:qFormat/>
    <w:uiPriority w:val="99"/>
    <w:rPr>
      <w:rFonts w:ascii="Arial" w:hAnsi="Arial"/>
    </w:rPr>
    <w:tblPr>
      <w:tblCellMar>
        <w:top w:w="0" w:type="dxa"/>
        <w:left w:w="108" w:type="dxa"/>
        <w:bottom w:w="0" w:type="dxa"/>
        <w:right w:w="108" w:type="dxa"/>
      </w:tblCellMar>
    </w:tblPr>
  </w:style>
  <w:style w:type="table" w:customStyle="1" w:styleId="392">
    <w:name w:val="List Table 6 Colorful - Accent 31"/>
    <w:basedOn w:val="42"/>
    <w:qFormat/>
    <w:uiPriority w:val="99"/>
    <w:rPr>
      <w:rFonts w:ascii="Arial" w:hAnsi="Arial"/>
    </w:rPr>
    <w:tblPr>
      <w:tblCellMar>
        <w:top w:w="0" w:type="dxa"/>
        <w:left w:w="108" w:type="dxa"/>
        <w:bottom w:w="0" w:type="dxa"/>
        <w:right w:w="108" w:type="dxa"/>
      </w:tblCellMar>
    </w:tblPr>
  </w:style>
  <w:style w:type="table" w:customStyle="1" w:styleId="393">
    <w:name w:val="List Table 6 Colorful - Accent 41"/>
    <w:basedOn w:val="42"/>
    <w:qFormat/>
    <w:uiPriority w:val="99"/>
    <w:rPr>
      <w:rFonts w:ascii="Arial" w:hAnsi="Arial"/>
    </w:rPr>
    <w:tblPr>
      <w:tblCellMar>
        <w:top w:w="0" w:type="dxa"/>
        <w:left w:w="108" w:type="dxa"/>
        <w:bottom w:w="0" w:type="dxa"/>
        <w:right w:w="108" w:type="dxa"/>
      </w:tblCellMar>
    </w:tblPr>
  </w:style>
  <w:style w:type="table" w:customStyle="1" w:styleId="394">
    <w:name w:val="List Table 6 Colorful - Accent 51"/>
    <w:basedOn w:val="42"/>
    <w:qFormat/>
    <w:uiPriority w:val="99"/>
    <w:rPr>
      <w:rFonts w:ascii="Arial" w:hAnsi="Arial"/>
    </w:rPr>
    <w:tblPr>
      <w:tblCellMar>
        <w:top w:w="0" w:type="dxa"/>
        <w:left w:w="108" w:type="dxa"/>
        <w:bottom w:w="0" w:type="dxa"/>
        <w:right w:w="108" w:type="dxa"/>
      </w:tblCellMar>
    </w:tblPr>
  </w:style>
  <w:style w:type="table" w:customStyle="1" w:styleId="395">
    <w:name w:val="List Table 6 Colorful - Accent 61"/>
    <w:basedOn w:val="42"/>
    <w:qFormat/>
    <w:uiPriority w:val="99"/>
    <w:rPr>
      <w:rFonts w:ascii="Arial" w:hAnsi="Arial"/>
    </w:rPr>
    <w:tblPr>
      <w:tblCellMar>
        <w:top w:w="0" w:type="dxa"/>
        <w:left w:w="108" w:type="dxa"/>
        <w:bottom w:w="0" w:type="dxa"/>
        <w:right w:w="108" w:type="dxa"/>
      </w:tblCellMar>
    </w:tblPr>
  </w:style>
  <w:style w:type="table" w:customStyle="1" w:styleId="396">
    <w:name w:val="清单表 7 彩色11"/>
    <w:basedOn w:val="42"/>
    <w:qFormat/>
    <w:uiPriority w:val="99"/>
    <w:rPr>
      <w:rFonts w:ascii="Arial" w:hAnsi="Arial"/>
    </w:rPr>
    <w:tblPr>
      <w:tblCellMar>
        <w:top w:w="0" w:type="dxa"/>
        <w:left w:w="108" w:type="dxa"/>
        <w:bottom w:w="0" w:type="dxa"/>
        <w:right w:w="108" w:type="dxa"/>
      </w:tblCellMar>
    </w:tblPr>
  </w:style>
  <w:style w:type="table" w:customStyle="1" w:styleId="397">
    <w:name w:val="List Table 7 Colorful - Accent 11"/>
    <w:basedOn w:val="42"/>
    <w:qFormat/>
    <w:uiPriority w:val="99"/>
    <w:rPr>
      <w:rFonts w:ascii="Arial" w:hAnsi="Arial"/>
    </w:rPr>
    <w:tblPr>
      <w:tblCellMar>
        <w:top w:w="0" w:type="dxa"/>
        <w:left w:w="108" w:type="dxa"/>
        <w:bottom w:w="0" w:type="dxa"/>
        <w:right w:w="108" w:type="dxa"/>
      </w:tblCellMar>
    </w:tblPr>
  </w:style>
  <w:style w:type="table" w:customStyle="1" w:styleId="398">
    <w:name w:val="List Table 7 Colorful - Accent 21"/>
    <w:basedOn w:val="42"/>
    <w:qFormat/>
    <w:uiPriority w:val="99"/>
    <w:rPr>
      <w:rFonts w:ascii="Arial" w:hAnsi="Arial"/>
    </w:rPr>
    <w:tblPr>
      <w:tblCellMar>
        <w:top w:w="0" w:type="dxa"/>
        <w:left w:w="108" w:type="dxa"/>
        <w:bottom w:w="0" w:type="dxa"/>
        <w:right w:w="108" w:type="dxa"/>
      </w:tblCellMar>
    </w:tblPr>
  </w:style>
  <w:style w:type="table" w:customStyle="1" w:styleId="399">
    <w:name w:val="List Table 7 Colorful - Accent 31"/>
    <w:basedOn w:val="42"/>
    <w:qFormat/>
    <w:uiPriority w:val="99"/>
    <w:rPr>
      <w:rFonts w:ascii="Arial" w:hAnsi="Arial"/>
    </w:rPr>
    <w:tblPr>
      <w:tblCellMar>
        <w:top w:w="0" w:type="dxa"/>
        <w:left w:w="108" w:type="dxa"/>
        <w:bottom w:w="0" w:type="dxa"/>
        <w:right w:w="108" w:type="dxa"/>
      </w:tblCellMar>
    </w:tblPr>
  </w:style>
  <w:style w:type="table" w:customStyle="1" w:styleId="400">
    <w:name w:val="List Table 7 Colorful - Accent 41"/>
    <w:basedOn w:val="42"/>
    <w:qFormat/>
    <w:uiPriority w:val="99"/>
    <w:rPr>
      <w:rFonts w:ascii="Arial" w:hAnsi="Arial"/>
    </w:rPr>
    <w:tblPr>
      <w:tblCellMar>
        <w:top w:w="0" w:type="dxa"/>
        <w:left w:w="108" w:type="dxa"/>
        <w:bottom w:w="0" w:type="dxa"/>
        <w:right w:w="108" w:type="dxa"/>
      </w:tblCellMar>
    </w:tblPr>
  </w:style>
  <w:style w:type="table" w:customStyle="1" w:styleId="401">
    <w:name w:val="List Table 7 Colorful - Accent 51"/>
    <w:basedOn w:val="42"/>
    <w:qFormat/>
    <w:uiPriority w:val="99"/>
    <w:rPr>
      <w:rFonts w:ascii="Arial" w:hAnsi="Arial"/>
    </w:rPr>
    <w:tblPr>
      <w:tblCellMar>
        <w:top w:w="0" w:type="dxa"/>
        <w:left w:w="108" w:type="dxa"/>
        <w:bottom w:w="0" w:type="dxa"/>
        <w:right w:w="108" w:type="dxa"/>
      </w:tblCellMar>
    </w:tblPr>
  </w:style>
  <w:style w:type="table" w:customStyle="1" w:styleId="402">
    <w:name w:val="List Table 7 Colorful - Accent 61"/>
    <w:basedOn w:val="42"/>
    <w:qFormat/>
    <w:uiPriority w:val="99"/>
    <w:rPr>
      <w:rFonts w:ascii="Arial" w:hAnsi="Arial"/>
    </w:rPr>
    <w:tblPr>
      <w:tblCellMar>
        <w:top w:w="0" w:type="dxa"/>
        <w:left w:w="108" w:type="dxa"/>
        <w:bottom w:w="0" w:type="dxa"/>
        <w:right w:w="108" w:type="dxa"/>
      </w:tblCellMar>
    </w:tblPr>
  </w:style>
  <w:style w:type="table" w:customStyle="1" w:styleId="403">
    <w:name w:val="Lined - Accent 11"/>
    <w:basedOn w:val="42"/>
    <w:qFormat/>
    <w:uiPriority w:val="99"/>
    <w:rPr>
      <w:rFonts w:ascii="Arial" w:hAnsi="Arial"/>
      <w:color w:val="404040"/>
    </w:rPr>
    <w:tblPr>
      <w:tblCellMar>
        <w:top w:w="0" w:type="dxa"/>
        <w:left w:w="108" w:type="dxa"/>
        <w:bottom w:w="0" w:type="dxa"/>
        <w:right w:w="108" w:type="dxa"/>
      </w:tblCellMar>
    </w:tblPr>
  </w:style>
  <w:style w:type="table" w:customStyle="1" w:styleId="404">
    <w:name w:val="Lined - Accent 21"/>
    <w:basedOn w:val="42"/>
    <w:qFormat/>
    <w:uiPriority w:val="99"/>
    <w:rPr>
      <w:rFonts w:ascii="Arial" w:hAnsi="Arial"/>
      <w:color w:val="404040"/>
    </w:rPr>
    <w:tblPr>
      <w:tblCellMar>
        <w:top w:w="0" w:type="dxa"/>
        <w:left w:w="108" w:type="dxa"/>
        <w:bottom w:w="0" w:type="dxa"/>
        <w:right w:w="108" w:type="dxa"/>
      </w:tblCellMar>
    </w:tblPr>
  </w:style>
  <w:style w:type="table" w:customStyle="1" w:styleId="405">
    <w:name w:val="Lined - Accent 31"/>
    <w:basedOn w:val="42"/>
    <w:qFormat/>
    <w:uiPriority w:val="99"/>
    <w:rPr>
      <w:rFonts w:ascii="Arial" w:hAnsi="Arial"/>
      <w:color w:val="404040"/>
    </w:rPr>
    <w:tblPr>
      <w:tblCellMar>
        <w:top w:w="0" w:type="dxa"/>
        <w:left w:w="108" w:type="dxa"/>
        <w:bottom w:w="0" w:type="dxa"/>
        <w:right w:w="108" w:type="dxa"/>
      </w:tblCellMar>
    </w:tblPr>
  </w:style>
  <w:style w:type="table" w:customStyle="1" w:styleId="406">
    <w:name w:val="Lined - Accent 41"/>
    <w:basedOn w:val="42"/>
    <w:qFormat/>
    <w:uiPriority w:val="99"/>
    <w:rPr>
      <w:rFonts w:ascii="Arial" w:hAnsi="Arial"/>
      <w:color w:val="404040"/>
    </w:rPr>
    <w:tblPr>
      <w:tblCellMar>
        <w:top w:w="0" w:type="dxa"/>
        <w:left w:w="108" w:type="dxa"/>
        <w:bottom w:w="0" w:type="dxa"/>
        <w:right w:w="108" w:type="dxa"/>
      </w:tblCellMar>
    </w:tblPr>
  </w:style>
  <w:style w:type="table" w:customStyle="1" w:styleId="407">
    <w:name w:val="Lined - Accent 51"/>
    <w:basedOn w:val="42"/>
    <w:qFormat/>
    <w:uiPriority w:val="99"/>
    <w:rPr>
      <w:rFonts w:ascii="Arial" w:hAnsi="Arial"/>
      <w:color w:val="404040"/>
    </w:rPr>
    <w:tblPr>
      <w:tblCellMar>
        <w:top w:w="0" w:type="dxa"/>
        <w:left w:w="108" w:type="dxa"/>
        <w:bottom w:w="0" w:type="dxa"/>
        <w:right w:w="108" w:type="dxa"/>
      </w:tblCellMar>
    </w:tblPr>
  </w:style>
  <w:style w:type="table" w:customStyle="1" w:styleId="408">
    <w:name w:val="Lined - Accent 61"/>
    <w:basedOn w:val="42"/>
    <w:qFormat/>
    <w:uiPriority w:val="99"/>
    <w:rPr>
      <w:rFonts w:ascii="Arial" w:hAnsi="Arial"/>
      <w:color w:val="404040"/>
    </w:rPr>
    <w:tblPr>
      <w:tblCellMar>
        <w:top w:w="0" w:type="dxa"/>
        <w:left w:w="108" w:type="dxa"/>
        <w:bottom w:w="0" w:type="dxa"/>
        <w:right w:w="108" w:type="dxa"/>
      </w:tblCellMar>
    </w:tblPr>
  </w:style>
  <w:style w:type="table" w:customStyle="1" w:styleId="409">
    <w:name w:val="Bordered &amp; Lined - Accent 11"/>
    <w:basedOn w:val="42"/>
    <w:qFormat/>
    <w:uiPriority w:val="99"/>
    <w:rPr>
      <w:rFonts w:ascii="Arial" w:hAnsi="Arial"/>
      <w:color w:val="404040"/>
    </w:rPr>
    <w:tblPr>
      <w:tblCellMar>
        <w:top w:w="0" w:type="dxa"/>
        <w:left w:w="108" w:type="dxa"/>
        <w:bottom w:w="0" w:type="dxa"/>
        <w:right w:w="108" w:type="dxa"/>
      </w:tblCellMar>
    </w:tblPr>
  </w:style>
  <w:style w:type="table" w:customStyle="1" w:styleId="410">
    <w:name w:val="Bordered &amp; Lined - Accent 21"/>
    <w:basedOn w:val="42"/>
    <w:qFormat/>
    <w:uiPriority w:val="99"/>
    <w:rPr>
      <w:rFonts w:ascii="Arial" w:hAnsi="Arial"/>
      <w:color w:val="404040"/>
    </w:rPr>
    <w:tblPr>
      <w:tblCellMar>
        <w:top w:w="0" w:type="dxa"/>
        <w:left w:w="108" w:type="dxa"/>
        <w:bottom w:w="0" w:type="dxa"/>
        <w:right w:w="108" w:type="dxa"/>
      </w:tblCellMar>
    </w:tblPr>
  </w:style>
  <w:style w:type="table" w:customStyle="1" w:styleId="411">
    <w:name w:val="Bordered &amp; Lined - Accent 31"/>
    <w:basedOn w:val="42"/>
    <w:qFormat/>
    <w:uiPriority w:val="99"/>
    <w:rPr>
      <w:rFonts w:ascii="Arial" w:hAnsi="Arial"/>
      <w:color w:val="404040"/>
    </w:rPr>
    <w:tblPr>
      <w:tblCellMar>
        <w:top w:w="0" w:type="dxa"/>
        <w:left w:w="108" w:type="dxa"/>
        <w:bottom w:w="0" w:type="dxa"/>
        <w:right w:w="108" w:type="dxa"/>
      </w:tblCellMar>
    </w:tblPr>
  </w:style>
  <w:style w:type="table" w:customStyle="1" w:styleId="412">
    <w:name w:val="Bordered &amp; Lined - Accent 41"/>
    <w:basedOn w:val="42"/>
    <w:qFormat/>
    <w:uiPriority w:val="99"/>
    <w:rPr>
      <w:rFonts w:ascii="Arial" w:hAnsi="Arial"/>
      <w:color w:val="404040"/>
    </w:rPr>
    <w:tblPr>
      <w:tblCellMar>
        <w:top w:w="0" w:type="dxa"/>
        <w:left w:w="108" w:type="dxa"/>
        <w:bottom w:w="0" w:type="dxa"/>
        <w:right w:w="108" w:type="dxa"/>
      </w:tblCellMar>
    </w:tblPr>
  </w:style>
  <w:style w:type="table" w:customStyle="1" w:styleId="413">
    <w:name w:val="Bordered &amp; Lined - Accent 51"/>
    <w:basedOn w:val="42"/>
    <w:qFormat/>
    <w:uiPriority w:val="99"/>
    <w:rPr>
      <w:rFonts w:ascii="Arial" w:hAnsi="Arial"/>
      <w:color w:val="404040"/>
    </w:rPr>
    <w:tblPr>
      <w:tblCellMar>
        <w:top w:w="0" w:type="dxa"/>
        <w:left w:w="108" w:type="dxa"/>
        <w:bottom w:w="0" w:type="dxa"/>
        <w:right w:w="108" w:type="dxa"/>
      </w:tblCellMar>
    </w:tblPr>
  </w:style>
  <w:style w:type="table" w:customStyle="1" w:styleId="414">
    <w:name w:val="Bordered &amp; Lined - Accent 61"/>
    <w:basedOn w:val="42"/>
    <w:qFormat/>
    <w:uiPriority w:val="99"/>
    <w:rPr>
      <w:rFonts w:ascii="Arial" w:hAnsi="Arial"/>
      <w:color w:val="404040"/>
    </w:rPr>
    <w:tblPr>
      <w:tblCellMar>
        <w:top w:w="0" w:type="dxa"/>
        <w:left w:w="108" w:type="dxa"/>
        <w:bottom w:w="0" w:type="dxa"/>
        <w:right w:w="108" w:type="dxa"/>
      </w:tblCellMar>
    </w:tblPr>
  </w:style>
  <w:style w:type="table" w:customStyle="1" w:styleId="415">
    <w:name w:val="Bordered1"/>
    <w:basedOn w:val="42"/>
    <w:qFormat/>
    <w:uiPriority w:val="99"/>
    <w:rPr>
      <w:rFonts w:ascii="Arial" w:hAnsi="Arial"/>
    </w:rPr>
    <w:tblPr>
      <w:tblCellMar>
        <w:top w:w="0" w:type="dxa"/>
        <w:left w:w="108" w:type="dxa"/>
        <w:bottom w:w="0" w:type="dxa"/>
        <w:right w:w="108" w:type="dxa"/>
      </w:tblCellMar>
    </w:tblPr>
  </w:style>
  <w:style w:type="table" w:customStyle="1" w:styleId="416">
    <w:name w:val="Bordered - Accent 11"/>
    <w:basedOn w:val="42"/>
    <w:qFormat/>
    <w:uiPriority w:val="99"/>
    <w:rPr>
      <w:rFonts w:ascii="Arial" w:hAnsi="Arial"/>
    </w:rPr>
    <w:tblPr>
      <w:tblCellMar>
        <w:top w:w="0" w:type="dxa"/>
        <w:left w:w="108" w:type="dxa"/>
        <w:bottom w:w="0" w:type="dxa"/>
        <w:right w:w="108" w:type="dxa"/>
      </w:tblCellMar>
    </w:tblPr>
  </w:style>
  <w:style w:type="table" w:customStyle="1" w:styleId="417">
    <w:name w:val="Bordered - Accent 21"/>
    <w:basedOn w:val="42"/>
    <w:qFormat/>
    <w:uiPriority w:val="99"/>
    <w:rPr>
      <w:rFonts w:ascii="Arial" w:hAnsi="Arial"/>
    </w:rPr>
    <w:tblPr>
      <w:tblCellMar>
        <w:top w:w="0" w:type="dxa"/>
        <w:left w:w="108" w:type="dxa"/>
        <w:bottom w:w="0" w:type="dxa"/>
        <w:right w:w="108" w:type="dxa"/>
      </w:tblCellMar>
    </w:tblPr>
  </w:style>
  <w:style w:type="table" w:customStyle="1" w:styleId="418">
    <w:name w:val="Bordered - Accent 31"/>
    <w:basedOn w:val="42"/>
    <w:qFormat/>
    <w:uiPriority w:val="99"/>
    <w:rPr>
      <w:rFonts w:ascii="Arial" w:hAnsi="Arial"/>
    </w:rPr>
    <w:tblPr>
      <w:tblCellMar>
        <w:top w:w="0" w:type="dxa"/>
        <w:left w:w="108" w:type="dxa"/>
        <w:bottom w:w="0" w:type="dxa"/>
        <w:right w:w="108" w:type="dxa"/>
      </w:tblCellMar>
    </w:tblPr>
  </w:style>
  <w:style w:type="table" w:customStyle="1" w:styleId="419">
    <w:name w:val="Bordered - Accent 41"/>
    <w:basedOn w:val="42"/>
    <w:qFormat/>
    <w:uiPriority w:val="99"/>
    <w:rPr>
      <w:rFonts w:ascii="Arial" w:hAnsi="Arial"/>
    </w:rPr>
    <w:tblPr>
      <w:tblCellMar>
        <w:top w:w="0" w:type="dxa"/>
        <w:left w:w="108" w:type="dxa"/>
        <w:bottom w:w="0" w:type="dxa"/>
        <w:right w:w="108" w:type="dxa"/>
      </w:tblCellMar>
    </w:tblPr>
  </w:style>
  <w:style w:type="table" w:customStyle="1" w:styleId="420">
    <w:name w:val="Bordered - Accent 51"/>
    <w:basedOn w:val="42"/>
    <w:qFormat/>
    <w:uiPriority w:val="99"/>
    <w:rPr>
      <w:rFonts w:ascii="Arial" w:hAnsi="Arial"/>
    </w:rPr>
    <w:tblPr>
      <w:tblCellMar>
        <w:top w:w="0" w:type="dxa"/>
        <w:left w:w="108" w:type="dxa"/>
        <w:bottom w:w="0" w:type="dxa"/>
        <w:right w:w="108" w:type="dxa"/>
      </w:tblCellMar>
    </w:tblPr>
  </w:style>
  <w:style w:type="table" w:customStyle="1" w:styleId="421">
    <w:name w:val="Bordered - Accent 61"/>
    <w:basedOn w:val="42"/>
    <w:qFormat/>
    <w:uiPriority w:val="99"/>
    <w:rPr>
      <w:rFonts w:ascii="Arial" w:hAnsi="Arial"/>
    </w:rPr>
    <w:tblPr>
      <w:tblCellMar>
        <w:top w:w="0" w:type="dxa"/>
        <w:left w:w="108" w:type="dxa"/>
        <w:bottom w:w="0" w:type="dxa"/>
        <w:right w:w="108" w:type="dxa"/>
      </w:tblCellMar>
    </w:tblPr>
  </w:style>
  <w:style w:type="paragraph" w:customStyle="1" w:styleId="422">
    <w:name w:val="普通正文"/>
    <w:basedOn w:val="1"/>
    <w:qFormat/>
    <w:uiPriority w:val="0"/>
    <w:pPr>
      <w:ind w:firstLine="425"/>
    </w:pPr>
    <w:rPr>
      <w:rFonts w:ascii="Calibri" w:hAnsi="Calibri" w:cs="等线"/>
      <w:color w:val="000000"/>
      <w:sz w:val="24"/>
      <w:szCs w:val="20"/>
    </w:rPr>
  </w:style>
  <w:style w:type="paragraph" w:customStyle="1" w:styleId="423">
    <w:name w:val="修订1"/>
    <w:semiHidden/>
    <w:qFormat/>
    <w:uiPriority w:val="99"/>
    <w:rPr>
      <w:rFonts w:ascii="宋体" w:hAnsi="Times New Roman" w:eastAsia="宋体" w:cs="宋体"/>
      <w:sz w:val="22"/>
      <w:szCs w:val="22"/>
      <w:lang w:val="en-US" w:eastAsia="zh-CN" w:bidi="ar-SA"/>
    </w:rPr>
  </w:style>
  <w:style w:type="table" w:customStyle="1" w:styleId="424">
    <w:name w:val="网格型2"/>
    <w:basedOn w:val="42"/>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25">
    <w:name w:val="Table Normal2"/>
    <w:semiHidden/>
    <w:unhideWhenUsed/>
    <w:qFormat/>
    <w:uiPriority w:val="0"/>
    <w:tblPr>
      <w:tblCellMar>
        <w:top w:w="0" w:type="dxa"/>
        <w:left w:w="0" w:type="dxa"/>
        <w:bottom w:w="0" w:type="dxa"/>
        <w:right w:w="0" w:type="dxa"/>
      </w:tblCellMar>
    </w:tblPr>
  </w:style>
  <w:style w:type="table" w:customStyle="1" w:styleId="426">
    <w:name w:val="网格型3"/>
    <w:basedOn w:val="42"/>
    <w:qFormat/>
    <w:uiPriority w:val="59"/>
    <w:tblPr>
      <w:tblCellMar>
        <w:top w:w="0" w:type="dxa"/>
        <w:left w:w="108" w:type="dxa"/>
        <w:bottom w:w="0" w:type="dxa"/>
        <w:right w:w="108" w:type="dxa"/>
      </w:tblCellMar>
    </w:tblPr>
  </w:style>
  <w:style w:type="table" w:customStyle="1" w:styleId="427">
    <w:name w:val="网格型4"/>
    <w:basedOn w:val="42"/>
    <w:qFormat/>
    <w:uiPriority w:val="59"/>
    <w:tblPr>
      <w:tblCellMar>
        <w:top w:w="0" w:type="dxa"/>
        <w:left w:w="108" w:type="dxa"/>
        <w:bottom w:w="0" w:type="dxa"/>
        <w:right w:w="108" w:type="dxa"/>
      </w:tblCellMar>
    </w:tblPr>
  </w:style>
  <w:style w:type="paragraph" w:customStyle="1" w:styleId="428">
    <w:name w:val="附件栏"/>
    <w:basedOn w:val="1"/>
    <w:qFormat/>
    <w:uiPriority w:val="0"/>
    <w:pPr>
      <w:autoSpaceDE w:val="0"/>
      <w:autoSpaceDN w:val="0"/>
      <w:snapToGrid w:val="0"/>
      <w:spacing w:line="590" w:lineRule="atLeast"/>
      <w:ind w:firstLine="624"/>
      <w:jc w:val="both"/>
    </w:pPr>
    <w:rPr>
      <w:rFonts w:ascii="Times New Roman" w:eastAsia="仿宋" w:cs="Times New Roman"/>
      <w:snapToGrid w:val="0"/>
      <w:sz w:val="32"/>
      <w:szCs w:val="20"/>
    </w:rPr>
  </w:style>
  <w:style w:type="character" w:customStyle="1" w:styleId="429">
    <w:name w:val="font31"/>
    <w:basedOn w:val="44"/>
    <w:qFormat/>
    <w:uiPriority w:val="0"/>
    <w:rPr>
      <w:rFonts w:hint="eastAsia" w:ascii="宋体" w:hAnsi="宋体" w:eastAsia="宋体" w:cs="宋体"/>
      <w:color w:val="000000"/>
      <w:sz w:val="18"/>
      <w:szCs w:val="18"/>
      <w:u w:val="none"/>
    </w:rPr>
  </w:style>
  <w:style w:type="table" w:customStyle="1" w:styleId="430">
    <w:name w:val="Table Normal_0"/>
    <w:unhideWhenUsed/>
    <w:qFormat/>
    <w:uiPriority w:val="0"/>
    <w:pPr>
      <w:widowControl w:val="0"/>
    </w:pPr>
    <w:rPr>
      <w:rFonts w:ascii="Arial" w:hAnsi="Arial"/>
      <w:sz w:val="22"/>
      <w:szCs w:val="22"/>
      <w:lang w:eastAsia="en-US"/>
    </w:rPr>
    <w:tblPr>
      <w:tblCellMar>
        <w:top w:w="0" w:type="dxa"/>
        <w:left w:w="0" w:type="dxa"/>
        <w:bottom w:w="0" w:type="dxa"/>
        <w:right w:w="0" w:type="dxa"/>
      </w:tblCellMar>
    </w:tblPr>
  </w:style>
  <w:style w:type="table" w:customStyle="1" w:styleId="431">
    <w:name w:val="Table Normal4"/>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32">
    <w:name w:val="Table Normal3"/>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433">
    <w:name w:val="Table Normal_01"/>
    <w:basedOn w:val="42"/>
    <w:qFormat/>
    <w:uiPriority w:val="0"/>
    <w:pPr>
      <w:widowControl w:val="0"/>
    </w:pPr>
    <w:rPr>
      <w:rFonts w:ascii="Arial" w:hAnsi="Arial" w:eastAsia="Times New Roman" w:cs="Arial"/>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8"/>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589052-DBF0-4FE6-85FF-0ACA012D852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92</Pages>
  <Words>19542</Words>
  <Characters>21239</Characters>
  <Lines>404</Lines>
  <Paragraphs>113</Paragraphs>
  <TotalTime>19</TotalTime>
  <ScaleCrop>false</ScaleCrop>
  <LinksUpToDate>false</LinksUpToDate>
  <CharactersWithSpaces>21482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2026-06-11T03:43:00Z</dcterms:created>
  <dc:creator>Administrator</dc:creator>
  <cp:lastModifiedBy>太虚将何为</cp:lastModifiedBy>
  <cp:lastPrinted>2025-12-23T05:20:00Z</cp:lastPrinted>
  <dcterms:modified xsi:type="dcterms:W3CDTF">2026-06-11T08:13:02Z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FD62DB5372EF48DE8C76D94E634D21E4_13</vt:lpwstr>
  </property>
  <property fmtid="{D5CDD505-2E9C-101B-9397-08002B2CF9AE}" pid="4" name="KSOTemplateDocerSaveRecord">
    <vt:lpwstr>eyJoZGlkIjoiMDYyNmViNzc2NzBmZmViODI5YTk0OWQxOWI5MDJiYjgiLCJ1c2VySWQiOiIzMTU2ODUyMyJ9</vt:lpwstr>
  </property>
</Properties>
</file>